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C3A3" w14:textId="4700C2FA" w:rsidR="0017688B" w:rsidRPr="00675B11" w:rsidRDefault="00706F62" w:rsidP="005110DD">
      <w:pPr>
        <w:pStyle w:val="Title"/>
      </w:pPr>
      <w:r w:rsidRPr="00675B11">
        <w:t>Policy Essentials</w:t>
      </w:r>
    </w:p>
    <w:p w14:paraId="4F5C2E39" w14:textId="04CA6208" w:rsidR="0042251A" w:rsidRDefault="0042251A" w:rsidP="0042251A">
      <w:pPr>
        <w:pStyle w:val="Heading1"/>
      </w:pPr>
      <w:r>
        <w:t>Introduction</w:t>
      </w:r>
    </w:p>
    <w:p w14:paraId="450870CA" w14:textId="77777777" w:rsidR="0042251A" w:rsidRDefault="0042251A" w:rsidP="0042251A">
      <w:pPr>
        <w:spacing w:after="0"/>
      </w:pPr>
    </w:p>
    <w:p w14:paraId="68C0A4CD" w14:textId="7E4A9CEF" w:rsidR="00706F62" w:rsidRDefault="00E95E8A">
      <w:r>
        <w:t>Every topic in nursing school has policy implications.  Yet p</w:t>
      </w:r>
      <w:r w:rsidR="00706F62">
        <w:t xml:space="preserve">lacing health policy in a curriculum </w:t>
      </w:r>
      <w:r>
        <w:t xml:space="preserve">can be </w:t>
      </w:r>
      <w:r w:rsidR="00706F62">
        <w:t xml:space="preserve">challenging because it </w:t>
      </w:r>
      <w:r w:rsidR="00EE4964">
        <w:t>both</w:t>
      </w:r>
      <w:r w:rsidR="00706F62">
        <w:t xml:space="preserve"> ubiquitous and invisible. Policy influences almost every facet of the clinical encounter, yet it</w:t>
      </w:r>
      <w:r w:rsidR="0044727A">
        <w:t>s origin and intent can feel like a distant concern best left to someone else.</w:t>
      </w:r>
      <w:r w:rsidR="00706F62">
        <w:t xml:space="preserve"> </w:t>
      </w:r>
      <w:r w:rsidR="004B0112">
        <w:t>As a local example, a</w:t>
      </w:r>
      <w:r w:rsidR="00706F62">
        <w:t xml:space="preserve"> nurse who is </w:t>
      </w:r>
      <w:r w:rsidR="0034502E">
        <w:t xml:space="preserve">washing </w:t>
      </w:r>
      <w:r w:rsidR="00EE4964">
        <w:t xml:space="preserve">their </w:t>
      </w:r>
      <w:r w:rsidR="0034502E">
        <w:t xml:space="preserve">hands before assessing a patient is likely aware of the </w:t>
      </w:r>
      <w:r w:rsidR="00706F62">
        <w:t xml:space="preserve">hospital's </w:t>
      </w:r>
      <w:r w:rsidR="0034502E">
        <w:t xml:space="preserve">policy on handwashing but may not realize how </w:t>
      </w:r>
      <w:r w:rsidR="00EE4964">
        <w:t xml:space="preserve">their </w:t>
      </w:r>
      <w:r w:rsidR="0034502E">
        <w:t xml:space="preserve">actions are </w:t>
      </w:r>
      <w:r w:rsidR="0044727A">
        <w:t xml:space="preserve">also </w:t>
      </w:r>
      <w:r w:rsidR="0034502E">
        <w:t>guided by professional standards, regulations, and financial incentives</w:t>
      </w:r>
      <w:r w:rsidR="00706F62">
        <w:t xml:space="preserve">. </w:t>
      </w:r>
      <w:r w:rsidR="004B0112">
        <w:t>On a larger scale, e</w:t>
      </w:r>
      <w:r w:rsidR="00537FF7">
        <w:t xml:space="preserve">quitable access to care, </w:t>
      </w:r>
      <w:r w:rsidR="004B0112">
        <w:t>such as who is able to see a nurse practitioner, is also a policy issue.  Therefore</w:t>
      </w:r>
      <w:r w:rsidR="00627F75">
        <w:t xml:space="preserve">, it is imperative </w:t>
      </w:r>
      <w:r w:rsidR="00C26254">
        <w:t>that</w:t>
      </w:r>
      <w:r w:rsidR="00627F75">
        <w:t xml:space="preserve"> nurses </w:t>
      </w:r>
      <w:r w:rsidR="00DC3CF9">
        <w:t>are competent to</w:t>
      </w:r>
      <w:r w:rsidR="00627F75">
        <w:t xml:space="preserve"> </w:t>
      </w:r>
      <w:r w:rsidR="009C347B">
        <w:t>recognize</w:t>
      </w:r>
      <w:r w:rsidR="000C47A7">
        <w:t>,</w:t>
      </w:r>
      <w:r w:rsidR="00D632D1">
        <w:t xml:space="preserve"> </w:t>
      </w:r>
      <w:r w:rsidR="009C347B">
        <w:t xml:space="preserve">analyze, </w:t>
      </w:r>
      <w:r w:rsidR="000C47A7">
        <w:t xml:space="preserve">and act upon </w:t>
      </w:r>
      <w:r w:rsidR="00AC402C">
        <w:t xml:space="preserve">policies </w:t>
      </w:r>
      <w:r w:rsidR="000C47A7">
        <w:t>impacting their patients, community, and profession</w:t>
      </w:r>
      <w:r w:rsidR="00C54556">
        <w:t>.</w:t>
      </w:r>
      <w:r w:rsidR="000C47A7">
        <w:t xml:space="preserve"> </w:t>
      </w:r>
      <w:r w:rsidR="00DC158D">
        <w:t>The following pro</w:t>
      </w:r>
      <w:r w:rsidR="0044727A">
        <w:t xml:space="preserve">mpts </w:t>
      </w:r>
      <w:r w:rsidR="0054001E">
        <w:t xml:space="preserve">of Why, Who, What, When, Where, and How (the 5 Ws and H framework) </w:t>
      </w:r>
      <w:r w:rsidR="0044727A">
        <w:t>are intended to help faculty surface</w:t>
      </w:r>
      <w:r w:rsidR="00D742A1">
        <w:t xml:space="preserve"> health</w:t>
      </w:r>
      <w:r w:rsidR="0044727A">
        <w:t xml:space="preserve"> policy </w:t>
      </w:r>
      <w:r w:rsidR="00993C29">
        <w:t xml:space="preserve">competencies </w:t>
      </w:r>
      <w:r w:rsidR="0044727A">
        <w:t xml:space="preserve">and allow students to connect </w:t>
      </w:r>
      <w:r w:rsidR="00D742A1">
        <w:t>them</w:t>
      </w:r>
      <w:r w:rsidR="0044727A">
        <w:t xml:space="preserve"> with clinical</w:t>
      </w:r>
      <w:r w:rsidR="00EE4964">
        <w:t xml:space="preserve"> </w:t>
      </w:r>
      <w:r w:rsidR="0044727A">
        <w:t>learning</w:t>
      </w:r>
      <w:r w:rsidR="00EE4964">
        <w:t xml:space="preserve"> and professional development</w:t>
      </w:r>
      <w:r w:rsidR="0044727A">
        <w:t xml:space="preserve">. </w:t>
      </w:r>
    </w:p>
    <w:p w14:paraId="7249F46D" w14:textId="77777777" w:rsidR="00F364AF" w:rsidRDefault="00F364AF" w:rsidP="00F364AF">
      <w:r w:rsidRPr="006E6F3B">
        <w:rPr>
          <w:b/>
          <w:bCs/>
        </w:rPr>
        <w:t>Why</w:t>
      </w:r>
      <w:r>
        <w:t xml:space="preserve"> – Policy is solving or preventing problems to optimize population health, equity, social welfare, and the nursing profession. The need for or impact of health policy is commonly assessed on:</w:t>
      </w:r>
    </w:p>
    <w:p w14:paraId="1A32F9BA" w14:textId="133B27EE" w:rsidR="00F364AF" w:rsidRDefault="00F364AF" w:rsidP="00F364AF">
      <w:pPr>
        <w:pStyle w:val="ListParagraph"/>
        <w:numPr>
          <w:ilvl w:val="0"/>
          <w:numId w:val="1"/>
        </w:numPr>
      </w:pPr>
      <w:r>
        <w:t>Quality – Including safety, effectiveness, efficient, equity, timeliness, and patient centeredness</w:t>
      </w:r>
      <w:r w:rsidR="00A83F45">
        <w:t>.</w:t>
      </w:r>
      <w:r w:rsidR="00262B6F">
        <w:rPr>
          <w:rStyle w:val="EndnoteReference"/>
        </w:rPr>
        <w:endnoteReference w:id="1"/>
      </w:r>
      <w:r>
        <w:t xml:space="preserve"> </w:t>
      </w:r>
    </w:p>
    <w:p w14:paraId="30A31F6D" w14:textId="779C44E0" w:rsidR="00F364AF" w:rsidRDefault="00F364AF" w:rsidP="00F364AF">
      <w:pPr>
        <w:pStyle w:val="ListParagraph"/>
        <w:numPr>
          <w:ilvl w:val="0"/>
          <w:numId w:val="1"/>
        </w:numPr>
      </w:pPr>
      <w:r>
        <w:t>Access – Including affordability, the capacity of the workforce to provide sufficient services, and whether patients can be seen by who they want, when they want, for the services they want</w:t>
      </w:r>
      <w:r w:rsidR="00A83F45">
        <w:t>.</w:t>
      </w:r>
      <w:r w:rsidR="00A83F45">
        <w:rPr>
          <w:rStyle w:val="EndnoteReference"/>
        </w:rPr>
        <w:endnoteReference w:id="2"/>
      </w:r>
      <w:r>
        <w:t xml:space="preserve"> </w:t>
      </w:r>
    </w:p>
    <w:p w14:paraId="7CF95DAE" w14:textId="64F55910" w:rsidR="00F364AF" w:rsidRDefault="00F364AF" w:rsidP="00F364AF">
      <w:pPr>
        <w:pStyle w:val="ListParagraph"/>
        <w:numPr>
          <w:ilvl w:val="0"/>
          <w:numId w:val="1"/>
        </w:numPr>
      </w:pPr>
      <w:r>
        <w:t>Cost – Including the price of services, the efficiency of services delivered, the administration of the system, waste and fraud, and unwarranted variation in allocation</w:t>
      </w:r>
      <w:r w:rsidR="00A83F45">
        <w:t>.</w:t>
      </w:r>
      <w:r w:rsidR="00A83F45">
        <w:rPr>
          <w:rStyle w:val="EndnoteReference"/>
        </w:rPr>
        <w:endnoteReference w:id="3"/>
      </w:r>
      <w:r>
        <w:t xml:space="preserve"> (Cutler, 2018).</w:t>
      </w:r>
    </w:p>
    <w:p w14:paraId="058BC830" w14:textId="77777777" w:rsidR="00F364AF" w:rsidRDefault="00F364AF" w:rsidP="00F364AF">
      <w:r>
        <w:t xml:space="preserve">While there is a plethora of frameworks that combine or emphasize elements in different way, an important part of health policy competence is recognizing that patients – like consumers for all other goods and services – want services that are better, easier to get, and less expensive.  These domains overlap in places and are influenced by social determinants of health, societal values, and history as well as policy. We encourage faculty to have their students assess how policies affect equity in quality, access, cost, and the nursing profession.  </w:t>
      </w:r>
    </w:p>
    <w:p w14:paraId="27F98DEB" w14:textId="17C84581" w:rsidR="00706F62" w:rsidRDefault="00706F62">
      <w:r w:rsidRPr="006E6F3B">
        <w:rPr>
          <w:b/>
          <w:bCs/>
        </w:rPr>
        <w:t>Who</w:t>
      </w:r>
      <w:r w:rsidR="0034502E">
        <w:t xml:space="preserve"> </w:t>
      </w:r>
      <w:r w:rsidR="006E6F3B">
        <w:t>–</w:t>
      </w:r>
      <w:r w:rsidR="0034502E">
        <w:t xml:space="preserve"> </w:t>
      </w:r>
      <w:r w:rsidR="00CB5C1F">
        <w:t xml:space="preserve">Stakeholders are those </w:t>
      </w:r>
      <w:r w:rsidR="00552225">
        <w:t xml:space="preserve">influenced by and invested in </w:t>
      </w:r>
      <w:r w:rsidR="00AE23AE">
        <w:t>health policies</w:t>
      </w:r>
      <w:r w:rsidR="00BE502B" w:rsidRPr="00BE502B">
        <w:t xml:space="preserve"> </w:t>
      </w:r>
      <w:r w:rsidR="00BE502B">
        <w:t xml:space="preserve">and include patients, families, nurses, healthcare facilities, insurance companies, </w:t>
      </w:r>
      <w:r w:rsidR="00D76C16">
        <w:t>and</w:t>
      </w:r>
      <w:r w:rsidR="00BE502B">
        <w:t xml:space="preserve"> voters</w:t>
      </w:r>
      <w:r w:rsidR="00D76C16">
        <w:t xml:space="preserve"> (depending on the circumstance)</w:t>
      </w:r>
      <w:r w:rsidR="00BE502B">
        <w:t xml:space="preserve">. </w:t>
      </w:r>
      <w:r w:rsidR="00C9424F">
        <w:t xml:space="preserve">Analogous to </w:t>
      </w:r>
      <w:r w:rsidR="0084013F">
        <w:t xml:space="preserve">a </w:t>
      </w:r>
      <w:r w:rsidR="00C9424F">
        <w:t xml:space="preserve">marketplace, policymakers are responding to a demand from stakeholders. Stakeholder groups may differ or align in terms of their interests, policy preferences, and strategies. For instance, nursing unions and hospitals share the goal of improving patient </w:t>
      </w:r>
      <w:r w:rsidR="008645BB">
        <w:t>care but</w:t>
      </w:r>
      <w:r w:rsidR="00C9424F">
        <w:t xml:space="preserve"> differ in their demand for staffing mandates. </w:t>
      </w:r>
      <w:r w:rsidR="000B7DB4">
        <w:t xml:space="preserve">Policymakers </w:t>
      </w:r>
      <w:r w:rsidR="00ED6899">
        <w:t>include those who draft legislation, but also those who writ</w:t>
      </w:r>
      <w:r w:rsidR="00381087">
        <w:t xml:space="preserve">e regulations, </w:t>
      </w:r>
      <w:r w:rsidR="00E37E70">
        <w:t>implement programs</w:t>
      </w:r>
      <w:r w:rsidR="001A2C18">
        <w:t xml:space="preserve">, or write clinical protocols. They </w:t>
      </w:r>
      <w:r w:rsidR="00AC6010">
        <w:t xml:space="preserve">may </w:t>
      </w:r>
      <w:r w:rsidR="002C0D4A">
        <w:t xml:space="preserve">be in </w:t>
      </w:r>
      <w:r w:rsidR="004F4330">
        <w:t xml:space="preserve">government, </w:t>
      </w:r>
      <w:r w:rsidR="002B15CE">
        <w:t xml:space="preserve">healthcare </w:t>
      </w:r>
      <w:r w:rsidR="000F3CD6">
        <w:t xml:space="preserve">facilities, or </w:t>
      </w:r>
      <w:r w:rsidR="002B15CE">
        <w:t>professional organizations</w:t>
      </w:r>
      <w:r w:rsidR="00632886">
        <w:t xml:space="preserve">. </w:t>
      </w:r>
      <w:r w:rsidR="002F3896">
        <w:t xml:space="preserve">An important part of </w:t>
      </w:r>
      <w:r w:rsidR="00DB4C00">
        <w:t xml:space="preserve">health </w:t>
      </w:r>
      <w:r w:rsidR="00D43221">
        <w:t>policy</w:t>
      </w:r>
      <w:r w:rsidR="00DB4C00">
        <w:t xml:space="preserve"> competence </w:t>
      </w:r>
      <w:r w:rsidR="002F3896">
        <w:t xml:space="preserve">is </w:t>
      </w:r>
      <w:r w:rsidR="00DB4C00">
        <w:t xml:space="preserve">the ability to </w:t>
      </w:r>
      <w:r w:rsidR="00861852">
        <w:t>determin</w:t>
      </w:r>
      <w:r w:rsidR="00DB4C00">
        <w:t xml:space="preserve">e </w:t>
      </w:r>
      <w:r w:rsidR="007111B7">
        <w:t>who the policymakers and stakeholders are</w:t>
      </w:r>
      <w:r w:rsidR="00007BC1">
        <w:t>;</w:t>
      </w:r>
      <w:r w:rsidR="007111B7">
        <w:t xml:space="preserve"> </w:t>
      </w:r>
      <w:r w:rsidR="00A56E94">
        <w:t>what interests they hold</w:t>
      </w:r>
      <w:r w:rsidR="00967CBE">
        <w:t xml:space="preserve"> and</w:t>
      </w:r>
      <w:r w:rsidR="00A56E94">
        <w:t xml:space="preserve"> </w:t>
      </w:r>
      <w:r w:rsidR="00967CBE">
        <w:t xml:space="preserve">how </w:t>
      </w:r>
      <w:r w:rsidR="00F9682B">
        <w:t>they</w:t>
      </w:r>
      <w:r w:rsidR="00967CBE">
        <w:t xml:space="preserve"> align</w:t>
      </w:r>
      <w:r w:rsidR="00007BC1">
        <w:t>;</w:t>
      </w:r>
      <w:r w:rsidR="00967CBE">
        <w:t xml:space="preserve"> and how much power and influence they have</w:t>
      </w:r>
      <w:r w:rsidR="00E85660">
        <w:t xml:space="preserve"> over policy</w:t>
      </w:r>
      <w:r w:rsidR="00A56E94">
        <w:t>.</w:t>
      </w:r>
    </w:p>
    <w:p w14:paraId="7EAEFB9F" w14:textId="700C44C9" w:rsidR="00706F62" w:rsidRDefault="00706F62">
      <w:r w:rsidRPr="006E6F3B">
        <w:rPr>
          <w:b/>
          <w:bCs/>
        </w:rPr>
        <w:t>What</w:t>
      </w:r>
      <w:r w:rsidR="0034502E">
        <w:t xml:space="preserve"> </w:t>
      </w:r>
      <w:r w:rsidR="0049309E">
        <w:t>–</w:t>
      </w:r>
      <w:r w:rsidR="0034502E">
        <w:t xml:space="preserve"> </w:t>
      </w:r>
      <w:r w:rsidR="009D5D22" w:rsidRPr="009D5D22">
        <w:t xml:space="preserve">“In all settings, </w:t>
      </w:r>
      <w:r w:rsidR="009D5D22" w:rsidRPr="00887004">
        <w:rPr>
          <w:i/>
          <w:iCs/>
        </w:rPr>
        <w:t>policies</w:t>
      </w:r>
      <w:r w:rsidR="009D5D22" w:rsidRPr="009D5D22">
        <w:t xml:space="preserve"> are officially or authoritatively made decisions for guiding actions, decisions, and behaviors of others.”</w:t>
      </w:r>
      <w:r w:rsidR="00A83F45">
        <w:rPr>
          <w:rStyle w:val="EndnoteReference"/>
        </w:rPr>
        <w:endnoteReference w:id="4"/>
      </w:r>
      <w:r w:rsidR="009D5D22" w:rsidRPr="009D5D22">
        <w:t xml:space="preserve">  </w:t>
      </w:r>
      <w:r w:rsidR="0049309E">
        <w:t>Polic</w:t>
      </w:r>
      <w:r w:rsidR="00967CBE">
        <w:t>ies</w:t>
      </w:r>
      <w:r w:rsidR="0049309E">
        <w:t xml:space="preserve"> can take the form of law, but also </w:t>
      </w:r>
      <w:r w:rsidR="001F4C94">
        <w:t xml:space="preserve">the rules and </w:t>
      </w:r>
      <w:r w:rsidR="0049309E">
        <w:lastRenderedPageBreak/>
        <w:t>regulations</w:t>
      </w:r>
      <w:r w:rsidR="00EB41B8">
        <w:t xml:space="preserve"> needed to implement the law</w:t>
      </w:r>
      <w:r w:rsidR="00770F87">
        <w:t xml:space="preserve"> and</w:t>
      </w:r>
      <w:r w:rsidR="00E13F92">
        <w:t xml:space="preserve"> </w:t>
      </w:r>
      <w:r w:rsidR="00EB41B8">
        <w:t xml:space="preserve">judicial </w:t>
      </w:r>
      <w:r w:rsidR="00E13F92">
        <w:t>decisions</w:t>
      </w:r>
      <w:r w:rsidR="0034519A">
        <w:t xml:space="preserve"> about a law's constitutionality</w:t>
      </w:r>
      <w:r w:rsidR="00770F87">
        <w:t xml:space="preserve">. </w:t>
      </w:r>
      <w:r w:rsidR="00D043A3">
        <w:t>Healthcare p</w:t>
      </w:r>
      <w:r w:rsidR="00B43227">
        <w:t>olicy also</w:t>
      </w:r>
      <w:r w:rsidR="005539F8">
        <w:t xml:space="preserve"> takes the form of procedures </w:t>
      </w:r>
      <w:r w:rsidR="00AE2F9A">
        <w:t xml:space="preserve">and protocols </w:t>
      </w:r>
      <w:r w:rsidR="005539F8">
        <w:t>w</w:t>
      </w:r>
      <w:r w:rsidR="00770F87">
        <w:t>ithin healthcare organizations</w:t>
      </w:r>
      <w:r w:rsidR="005539F8">
        <w:t xml:space="preserve"> and </w:t>
      </w:r>
      <w:r w:rsidR="00AE2F9A">
        <w:t xml:space="preserve">standards set by </w:t>
      </w:r>
      <w:r w:rsidR="00BC417C">
        <w:t xml:space="preserve">professional organizations. </w:t>
      </w:r>
      <w:r w:rsidR="00BA5DFF">
        <w:t>P</w:t>
      </w:r>
      <w:r w:rsidR="009C4F2C">
        <w:t>olic</w:t>
      </w:r>
      <w:r w:rsidR="00A40859">
        <w:t>ies can set requirements (</w:t>
      </w:r>
      <w:r w:rsidR="001E6994">
        <w:t>e.g.,</w:t>
      </w:r>
      <w:r w:rsidR="00A40859">
        <w:t xml:space="preserve"> you must </w:t>
      </w:r>
      <w:r w:rsidR="008B415D">
        <w:t xml:space="preserve">hold a nursing license to practice nursing), </w:t>
      </w:r>
      <w:r w:rsidR="00CC1F21">
        <w:t>establish programs to allocate resources (</w:t>
      </w:r>
      <w:r w:rsidR="001E6994">
        <w:t>e.g.,</w:t>
      </w:r>
      <w:r w:rsidR="00CC1F21">
        <w:t xml:space="preserve"> funding for nursing education)</w:t>
      </w:r>
      <w:r w:rsidR="00770F87">
        <w:t xml:space="preserve">, </w:t>
      </w:r>
      <w:r w:rsidR="00397788">
        <w:t>or create incentives (</w:t>
      </w:r>
      <w:r w:rsidR="001E6994">
        <w:t>e.g.,</w:t>
      </w:r>
      <w:r w:rsidR="005361B8">
        <w:t xml:space="preserve"> </w:t>
      </w:r>
      <w:r w:rsidR="00C00439">
        <w:t>pay increases based on a clinical ladder</w:t>
      </w:r>
      <w:r w:rsidR="00397788">
        <w:t>).</w:t>
      </w:r>
      <w:r w:rsidR="00E13F92">
        <w:t xml:space="preserve"> </w:t>
      </w:r>
      <w:r w:rsidR="00616BED">
        <w:t xml:space="preserve">An important part of </w:t>
      </w:r>
      <w:r w:rsidR="00C00439">
        <w:t xml:space="preserve">part of health policy competence is the ability </w:t>
      </w:r>
      <w:r w:rsidR="00616BED">
        <w:t xml:space="preserve">to </w:t>
      </w:r>
      <w:r w:rsidR="008A60ED">
        <w:t>distinguish</w:t>
      </w:r>
      <w:r w:rsidR="00161303">
        <w:t xml:space="preserve"> the form and characteristics of policy.</w:t>
      </w:r>
      <w:r w:rsidR="006F138A">
        <w:t xml:space="preserve"> </w:t>
      </w:r>
    </w:p>
    <w:p w14:paraId="11E9D51F" w14:textId="5FBFF9C3" w:rsidR="00706F62" w:rsidRDefault="00706F62" w:rsidP="0073595D">
      <w:r w:rsidRPr="006E6F3B">
        <w:rPr>
          <w:b/>
          <w:bCs/>
        </w:rPr>
        <w:t>When</w:t>
      </w:r>
      <w:r w:rsidR="0034502E">
        <w:t xml:space="preserve"> –</w:t>
      </w:r>
      <w:r w:rsidR="00635876">
        <w:t xml:space="preserve">Current events open (or close) windows of opportunity </w:t>
      </w:r>
      <w:r w:rsidR="00933ADC">
        <w:t xml:space="preserve">for policy by increasing </w:t>
      </w:r>
      <w:r w:rsidR="00A87973">
        <w:t>the number or volume of those demanding it or aligning the interests of stakeholders and/or policymakers</w:t>
      </w:r>
      <w:r w:rsidR="00A83F45">
        <w:t>.</w:t>
      </w:r>
      <w:r w:rsidR="00A83F45">
        <w:rPr>
          <w:rStyle w:val="EndnoteReference"/>
        </w:rPr>
        <w:endnoteReference w:id="5"/>
      </w:r>
      <w:r w:rsidR="005B05A5">
        <w:t xml:space="preserve"> (Kingdon, </w:t>
      </w:r>
      <w:r w:rsidR="00A569E0">
        <w:t>1984)</w:t>
      </w:r>
      <w:r w:rsidR="0036240E">
        <w:t>.</w:t>
      </w:r>
      <w:r w:rsidR="00A62FA6">
        <w:t xml:space="preserve"> </w:t>
      </w:r>
      <w:r w:rsidR="00FD0303" w:rsidRPr="00FD0303">
        <w:t xml:space="preserve"> </w:t>
      </w:r>
      <w:r w:rsidR="00FD0303">
        <w:t xml:space="preserve">For example, policy windows are opened </w:t>
      </w:r>
      <w:r w:rsidR="001126C6">
        <w:t>in clinical settings</w:t>
      </w:r>
      <w:r w:rsidR="00FD0303">
        <w:t xml:space="preserve"> when a sentinel event occurs</w:t>
      </w:r>
      <w:r w:rsidR="002B0737">
        <w:t xml:space="preserve"> or in schools of nursing when new curricular standards are released.</w:t>
      </w:r>
      <w:r w:rsidR="0073595D">
        <w:t xml:space="preserve"> </w:t>
      </w:r>
      <w:r w:rsidR="00A62FA6">
        <w:t>Policies also have stages of formulation</w:t>
      </w:r>
      <w:r w:rsidR="00FA782B">
        <w:t>, implementation, and modification</w:t>
      </w:r>
      <w:r w:rsidR="00A83F45">
        <w:t>.</w:t>
      </w:r>
      <w:r w:rsidR="00A83F45">
        <w:rPr>
          <w:vertAlign w:val="superscript"/>
        </w:rPr>
        <w:t>4</w:t>
      </w:r>
      <w:r w:rsidR="00FA782B">
        <w:t xml:space="preserve"> </w:t>
      </w:r>
      <w:r w:rsidR="001C6833">
        <w:t xml:space="preserve">An important part </w:t>
      </w:r>
      <w:r w:rsidR="00E37A45">
        <w:t xml:space="preserve">of health policy competence is the ability </w:t>
      </w:r>
      <w:r w:rsidR="007870EE">
        <w:t xml:space="preserve">to analyze </w:t>
      </w:r>
      <w:r w:rsidR="002B52F4">
        <w:t>the changing interests of stakeholders and policymakers.</w:t>
      </w:r>
    </w:p>
    <w:p w14:paraId="4FB537B5" w14:textId="3E89E053" w:rsidR="00706F62" w:rsidRDefault="00706F62">
      <w:r w:rsidRPr="006E6F3B">
        <w:rPr>
          <w:b/>
          <w:bCs/>
        </w:rPr>
        <w:t>Where</w:t>
      </w:r>
      <w:r w:rsidR="0034502E">
        <w:t xml:space="preserve"> </w:t>
      </w:r>
      <w:r w:rsidR="00A810B5">
        <w:t>–</w:t>
      </w:r>
      <w:r w:rsidR="001A2B50">
        <w:t xml:space="preserve"> </w:t>
      </w:r>
      <w:r w:rsidR="00A810B5">
        <w:t xml:space="preserve">Policy </w:t>
      </w:r>
      <w:r w:rsidR="001A2B50">
        <w:t xml:space="preserve">is made </w:t>
      </w:r>
      <w:r w:rsidR="00D66962">
        <w:t>by the federal government, national professional organizations, stat</w:t>
      </w:r>
      <w:r w:rsidR="00FB1FE5">
        <w:t>es, municipalities, and healthcare organizations. Policies established at one level</w:t>
      </w:r>
      <w:r w:rsidR="00AB19AC">
        <w:t xml:space="preserve"> </w:t>
      </w:r>
      <w:r w:rsidR="00A810B5">
        <w:t>(</w:t>
      </w:r>
      <w:r w:rsidR="001E6994">
        <w:t>e.g.,</w:t>
      </w:r>
      <w:r w:rsidR="00A810B5">
        <w:t xml:space="preserve"> </w:t>
      </w:r>
      <w:r w:rsidR="00AB19AC">
        <w:t>federal</w:t>
      </w:r>
      <w:r w:rsidR="00A810B5">
        <w:t xml:space="preserve"> law) often </w:t>
      </w:r>
      <w:r w:rsidR="00AB19AC">
        <w:t xml:space="preserve">have </w:t>
      </w:r>
      <w:r w:rsidR="00A810B5">
        <w:t>echoe</w:t>
      </w:r>
      <w:r w:rsidR="00AB19AC">
        <w:t>s</w:t>
      </w:r>
      <w:r w:rsidR="00A810B5">
        <w:t xml:space="preserve"> at other levels (</w:t>
      </w:r>
      <w:r w:rsidR="001E6994">
        <w:t>e.g.,</w:t>
      </w:r>
      <w:r w:rsidR="00A810B5">
        <w:t xml:space="preserve"> protocols in healthcare organizations).</w:t>
      </w:r>
      <w:r w:rsidR="00162482">
        <w:t xml:space="preserve"> For instance, </w:t>
      </w:r>
      <w:r w:rsidR="00396CB3">
        <w:t xml:space="preserve">at the </w:t>
      </w:r>
      <w:r w:rsidR="00A33677">
        <w:t xml:space="preserve">macrosystem level, </w:t>
      </w:r>
      <w:r w:rsidR="00162482">
        <w:t xml:space="preserve">the </w:t>
      </w:r>
      <w:r w:rsidR="00137D9C">
        <w:t>American Association of Colleges of Nursing (</w:t>
      </w:r>
      <w:r w:rsidR="00162482">
        <w:t>AACN</w:t>
      </w:r>
      <w:r w:rsidR="00137D9C">
        <w:t>)</w:t>
      </w:r>
      <w:r w:rsidR="00473162">
        <w:t xml:space="preserve"> writes </w:t>
      </w:r>
      <w:r w:rsidR="00162482" w:rsidRPr="00137D9C">
        <w:rPr>
          <w:i/>
          <w:iCs/>
        </w:rPr>
        <w:t>Essentials</w:t>
      </w:r>
      <w:r w:rsidR="00162482">
        <w:t xml:space="preserve"> </w:t>
      </w:r>
      <w:r w:rsidR="00242E64">
        <w:t xml:space="preserve">which </w:t>
      </w:r>
      <w:r w:rsidR="00162482">
        <w:t xml:space="preserve">are </w:t>
      </w:r>
      <w:r w:rsidR="00202F14">
        <w:t>guiding documents for national accreditation standards</w:t>
      </w:r>
      <w:r w:rsidR="00242E64">
        <w:t xml:space="preserve">. </w:t>
      </w:r>
      <w:r w:rsidR="00396CB3">
        <w:t>At the microsystem level, s</w:t>
      </w:r>
      <w:r w:rsidR="00202F14">
        <w:t>chool</w:t>
      </w:r>
      <w:r w:rsidR="00242E64">
        <w:t>s</w:t>
      </w:r>
      <w:r w:rsidR="00202F14">
        <w:t xml:space="preserve"> of </w:t>
      </w:r>
      <w:r w:rsidR="00242E64">
        <w:t>n</w:t>
      </w:r>
      <w:r w:rsidR="00202F14">
        <w:t xml:space="preserve">ursing </w:t>
      </w:r>
      <w:r w:rsidR="007F51C0">
        <w:t>adapt their curricula (</w:t>
      </w:r>
      <w:r w:rsidR="001E6994">
        <w:t>i.e.,</w:t>
      </w:r>
      <w:r w:rsidR="007F51C0">
        <w:t xml:space="preserve"> educational policy) </w:t>
      </w:r>
      <w:r w:rsidR="00396CB3">
        <w:t>to meet the accreditation standards.</w:t>
      </w:r>
      <w:r w:rsidR="001C6833">
        <w:t xml:space="preserve"> </w:t>
      </w:r>
      <w:r w:rsidR="009E3BC4">
        <w:t>An important part of health</w:t>
      </w:r>
      <w:r w:rsidR="005D40B2">
        <w:t xml:space="preserve"> </w:t>
      </w:r>
      <w:r w:rsidR="009E3BC4">
        <w:t>policy competence</w:t>
      </w:r>
      <w:r w:rsidR="001C6833">
        <w:t xml:space="preserve"> is </w:t>
      </w:r>
      <w:r w:rsidR="00C5705A">
        <w:t xml:space="preserve">assessing </w:t>
      </w:r>
      <w:r w:rsidR="007278D4">
        <w:t xml:space="preserve">a policy's </w:t>
      </w:r>
      <w:r w:rsidR="001C6833">
        <w:t>system-ness</w:t>
      </w:r>
      <w:r w:rsidR="00D8775F">
        <w:t xml:space="preserve"> and the interplay between </w:t>
      </w:r>
      <w:r w:rsidR="007278D4">
        <w:t>system levels</w:t>
      </w:r>
      <w:r w:rsidR="001C6833">
        <w:t>.</w:t>
      </w:r>
    </w:p>
    <w:p w14:paraId="5478108B" w14:textId="34D9C559" w:rsidR="007C60A3" w:rsidRDefault="00706F62">
      <w:r w:rsidRPr="006E6F3B">
        <w:rPr>
          <w:b/>
          <w:bCs/>
        </w:rPr>
        <w:t>How</w:t>
      </w:r>
      <w:r w:rsidR="0034502E">
        <w:t xml:space="preserve"> – </w:t>
      </w:r>
      <w:r w:rsidR="00A93B8E">
        <w:t xml:space="preserve">Advocacy and analysis are used by </w:t>
      </w:r>
      <w:r w:rsidR="007C60A3">
        <w:t>both stakeholders and policymakers</w:t>
      </w:r>
      <w:r w:rsidR="001032B4">
        <w:t xml:space="preserve"> to shape policy</w:t>
      </w:r>
      <w:r w:rsidR="007C60A3">
        <w:t xml:space="preserve">. </w:t>
      </w:r>
      <w:r w:rsidR="00B3176A">
        <w:t xml:space="preserve">Advocacy requires </w:t>
      </w:r>
      <w:r w:rsidR="00676287">
        <w:t>an understanding of the audience, tailor</w:t>
      </w:r>
      <w:r w:rsidR="001A6457">
        <w:t xml:space="preserve">ing of the message and delivery, </w:t>
      </w:r>
      <w:r w:rsidR="0092317E">
        <w:t xml:space="preserve">and the ability to judge </w:t>
      </w:r>
      <w:r w:rsidR="00CD559F">
        <w:t xml:space="preserve">influence </w:t>
      </w:r>
      <w:r w:rsidR="00117590">
        <w:t xml:space="preserve">on stakeholders and policymakers. Analysis </w:t>
      </w:r>
      <w:r w:rsidR="00313072">
        <w:t xml:space="preserve">requires </w:t>
      </w:r>
      <w:r w:rsidR="000E513F">
        <w:t xml:space="preserve">knowledge of </w:t>
      </w:r>
      <w:r w:rsidR="003E2BD7">
        <w:t xml:space="preserve">theories or frameworks to guide </w:t>
      </w:r>
      <w:r w:rsidR="00D526CD">
        <w:t xml:space="preserve">the selection of measures and </w:t>
      </w:r>
      <w:r w:rsidR="00E11293">
        <w:t>methodologies</w:t>
      </w:r>
      <w:r w:rsidR="00386698">
        <w:t xml:space="preserve">, </w:t>
      </w:r>
      <w:r w:rsidR="00600C1F">
        <w:t>judgement to discern patterns of evidence</w:t>
      </w:r>
      <w:r w:rsidR="00660F12">
        <w:t xml:space="preserve">, and </w:t>
      </w:r>
      <w:r w:rsidR="000F4797">
        <w:t>openness to unintended consequences</w:t>
      </w:r>
      <w:r w:rsidR="00E11293">
        <w:t xml:space="preserve">. </w:t>
      </w:r>
      <w:r w:rsidR="00393FD0">
        <w:t xml:space="preserve">An important part of </w:t>
      </w:r>
      <w:bookmarkStart w:id="0" w:name="_Hlk87429153"/>
      <w:r w:rsidR="00393FD0">
        <w:t xml:space="preserve">health policy competence </w:t>
      </w:r>
      <w:bookmarkEnd w:id="0"/>
      <w:r w:rsidR="00664995">
        <w:t xml:space="preserve">is the ability to </w:t>
      </w:r>
      <w:r w:rsidR="00C06517">
        <w:t>conduct rigorous</w:t>
      </w:r>
      <w:r w:rsidR="00664995">
        <w:t xml:space="preserve"> </w:t>
      </w:r>
      <w:r w:rsidR="003C302E">
        <w:t>analysis and effec</w:t>
      </w:r>
      <w:r w:rsidR="00FD5897">
        <w:t>tively communicate evidence in advocacy.</w:t>
      </w:r>
      <w:r w:rsidR="0068260B">
        <w:t xml:space="preserve"> </w:t>
      </w:r>
      <w:r w:rsidR="003D4AEC">
        <w:t xml:space="preserve">Enacting and implementing policy is also essential in </w:t>
      </w:r>
      <w:r w:rsidR="00613BAF">
        <w:t>advancing policy changes.</w:t>
      </w:r>
    </w:p>
    <w:p w14:paraId="68E95C26" w14:textId="6C06381C" w:rsidR="00675B11" w:rsidRDefault="0042251A" w:rsidP="0042251A">
      <w:pPr>
        <w:pStyle w:val="Heading1"/>
      </w:pPr>
      <w:r>
        <w:t>Vignettes</w:t>
      </w:r>
    </w:p>
    <w:p w14:paraId="2C9EC675" w14:textId="77777777" w:rsidR="0042251A" w:rsidRDefault="0042251A" w:rsidP="0042251A">
      <w:pPr>
        <w:spacing w:after="0"/>
      </w:pPr>
    </w:p>
    <w:p w14:paraId="137F6A64" w14:textId="2FCAD9FE" w:rsidR="0042251A" w:rsidRDefault="006228A6" w:rsidP="0042251A">
      <w:pPr>
        <w:spacing w:after="0"/>
      </w:pPr>
      <w:r>
        <w:t xml:space="preserve">We have provided two vignettes of policy issues </w:t>
      </w:r>
      <w:r w:rsidR="008627C3">
        <w:t xml:space="preserve">as exemplars of how faculty can use this toolkit.  The first </w:t>
      </w:r>
      <w:r w:rsidR="00B76099">
        <w:t xml:space="preserve">vignette </w:t>
      </w:r>
      <w:r w:rsidR="00F079B1">
        <w:t xml:space="preserve">examines </w:t>
      </w:r>
      <w:r w:rsidR="00B76099">
        <w:t>the clinical practice guidelines that call for the use of a Black coefficient in the determination of glomerular filtration rate</w:t>
      </w:r>
      <w:r w:rsidR="00F079B1">
        <w:t>.  This</w:t>
      </w:r>
      <w:r w:rsidR="00B76099">
        <w:t xml:space="preserve"> </w:t>
      </w:r>
      <w:r w:rsidR="00DC3007">
        <w:t>vignette highlights a</w:t>
      </w:r>
      <w:r w:rsidR="00B76099">
        <w:t xml:space="preserve"> policy </w:t>
      </w:r>
      <w:r w:rsidR="00DC3007">
        <w:t xml:space="preserve">that is </w:t>
      </w:r>
      <w:r w:rsidR="00B76099">
        <w:t xml:space="preserve">influenced by unconscious bias </w:t>
      </w:r>
      <w:r w:rsidR="00DC3007">
        <w:t>by</w:t>
      </w:r>
      <w:r w:rsidR="00B76099">
        <w:t xml:space="preserve"> </w:t>
      </w:r>
      <w:r w:rsidR="00EE10CE">
        <w:t xml:space="preserve">affecting </w:t>
      </w:r>
      <w:r w:rsidR="00396227">
        <w:t xml:space="preserve">the </w:t>
      </w:r>
      <w:r w:rsidR="00EE10CE">
        <w:t>eligibility</w:t>
      </w:r>
      <w:r w:rsidR="00B76099">
        <w:t xml:space="preserve"> </w:t>
      </w:r>
      <w:r w:rsidR="00EE10CE">
        <w:t>for kidney transplant</w:t>
      </w:r>
      <w:r w:rsidR="00396227">
        <w:t xml:space="preserve">s </w:t>
      </w:r>
      <w:r w:rsidR="00B76099">
        <w:t>for Black patients with end stage renal disease.</w:t>
      </w:r>
      <w:r w:rsidR="002D7B2C">
        <w:t xml:space="preserve">  The second vignette illustrates the policy and </w:t>
      </w:r>
      <w:r w:rsidR="000E0339">
        <w:t xml:space="preserve">resultant supply chain changes to make enteral tube </w:t>
      </w:r>
      <w:r w:rsidR="00A972D7">
        <w:t>connectors safer for patients.</w:t>
      </w:r>
    </w:p>
    <w:p w14:paraId="3FBD0B95" w14:textId="77777777" w:rsidR="00675B11" w:rsidRDefault="00675B11"/>
    <w:p w14:paraId="2DF62EFB" w14:textId="67634497" w:rsidR="00CA1EFE" w:rsidRDefault="00CA1EFE" w:rsidP="00CA1EFE">
      <w:pPr>
        <w:pStyle w:val="Heading2"/>
      </w:pPr>
      <w:r>
        <w:t>Vignette 1: Black Coefficient in Glomerular Filtration Rate</w:t>
      </w:r>
      <w:r w:rsidR="00EE10CE">
        <w:t xml:space="preserve">s and </w:t>
      </w:r>
      <w:r w:rsidR="00396227">
        <w:t>Kidney Transplant Eligibility</w:t>
      </w:r>
    </w:p>
    <w:p w14:paraId="6D7EF201" w14:textId="77777777" w:rsidR="00396227" w:rsidRDefault="00396227" w:rsidP="00484369">
      <w:pPr>
        <w:spacing w:after="0"/>
      </w:pPr>
    </w:p>
    <w:p w14:paraId="1D1C8FAB" w14:textId="14363D82" w:rsidR="00484369" w:rsidRDefault="00484369" w:rsidP="00484369">
      <w:pPr>
        <w:rPr>
          <w:i/>
          <w:iCs/>
        </w:rPr>
      </w:pPr>
      <w:r>
        <w:rPr>
          <w:i/>
          <w:iCs/>
        </w:rPr>
        <w:t xml:space="preserve">Cliff is a 59-year-old Black man with diabetes, hypertension, and kidney failure. He is not eligible to be on the kidney transplant waiting list because his </w:t>
      </w:r>
      <w:r w:rsidR="00853654">
        <w:rPr>
          <w:i/>
          <w:iCs/>
        </w:rPr>
        <w:t xml:space="preserve">estimate </w:t>
      </w:r>
      <w:r>
        <w:rPr>
          <w:i/>
          <w:iCs/>
        </w:rPr>
        <w:t>glomerular filtration rate (</w:t>
      </w:r>
      <w:r w:rsidR="00853654">
        <w:rPr>
          <w:i/>
          <w:iCs/>
        </w:rPr>
        <w:t>e</w:t>
      </w:r>
      <w:r>
        <w:rPr>
          <w:i/>
          <w:iCs/>
        </w:rPr>
        <w:t xml:space="preserve">GFR) was most </w:t>
      </w:r>
      <w:r>
        <w:rPr>
          <w:i/>
          <w:iCs/>
        </w:rPr>
        <w:lastRenderedPageBreak/>
        <w:t>recently calculated to be 21 mL/min/1.73 m</w:t>
      </w:r>
      <w:r>
        <w:rPr>
          <w:i/>
          <w:iCs/>
          <w:vertAlign w:val="superscript"/>
        </w:rPr>
        <w:t>2</w:t>
      </w:r>
      <w:r>
        <w:rPr>
          <w:i/>
          <w:iCs/>
        </w:rPr>
        <w:t xml:space="preserve"> and patients are eligible for transplant evaluation when their </w:t>
      </w:r>
      <w:r w:rsidR="00853654">
        <w:rPr>
          <w:i/>
          <w:iCs/>
        </w:rPr>
        <w:t>e</w:t>
      </w:r>
      <w:r>
        <w:rPr>
          <w:i/>
          <w:iCs/>
        </w:rPr>
        <w:t>GFR falls below 20 mL/min/1.73 m</w:t>
      </w:r>
      <w:r>
        <w:rPr>
          <w:i/>
          <w:iCs/>
          <w:vertAlign w:val="superscript"/>
        </w:rPr>
        <w:t>2</w:t>
      </w:r>
      <w:r>
        <w:rPr>
          <w:i/>
          <w:iCs/>
        </w:rPr>
        <w:t xml:space="preserve">. However, if Cliff had been White his </w:t>
      </w:r>
      <w:r w:rsidR="00853654">
        <w:rPr>
          <w:i/>
          <w:iCs/>
        </w:rPr>
        <w:t>eGFR</w:t>
      </w:r>
      <w:r>
        <w:rPr>
          <w:i/>
          <w:iCs/>
        </w:rPr>
        <w:t xml:space="preserve"> rate would have been calculated as 19 mL/min/1.73 m</w:t>
      </w:r>
      <w:r>
        <w:rPr>
          <w:i/>
          <w:iCs/>
          <w:vertAlign w:val="superscript"/>
        </w:rPr>
        <w:t>2</w:t>
      </w:r>
      <w:r>
        <w:rPr>
          <w:i/>
          <w:iCs/>
        </w:rPr>
        <w:t xml:space="preserve"> and he would have been eligible for evaluation and listing. </w:t>
      </w:r>
    </w:p>
    <w:p w14:paraId="6BC04399" w14:textId="2F17892E" w:rsidR="00484369" w:rsidRDefault="00484369" w:rsidP="00484369">
      <w:r>
        <w:t>The management of kidney failure is guided by monitoring estimated GFR because direct measurement with a filtration marker is difficult to administer, burdensome for the patient, and expensive. The estimation is done by a laboratory using equations that include values for creatinine, age, sex, body size, and race. In these equations, Black race is multiplied by a coefficient making the estimated GFR 16-18% higher than Whites. The justification for the Black coefficient is based on an association between self-reported Black race and higher directly measured GFR</w:t>
      </w:r>
      <w:r w:rsidR="0089338A" w:rsidRPr="001F3C54">
        <w:t>.</w:t>
      </w:r>
      <w:r w:rsidR="0042033B" w:rsidRPr="001F3C54">
        <w:rPr>
          <w:rStyle w:val="EndnoteReference"/>
        </w:rPr>
        <w:endnoteReference w:id="6"/>
      </w:r>
      <w:r w:rsidRPr="001F3C54">
        <w:t xml:space="preserve"> </w:t>
      </w:r>
      <w:r>
        <w:t>While self-reported race may accurately convey the patient's lived experience, the proportion of African American genetic ancestry among self-reported African Americans ranged from 1% to 98% and from 0% to 11% among those who reported European ancestry</w:t>
      </w:r>
      <w:r w:rsidR="0052719B">
        <w:t>.</w:t>
      </w:r>
      <w:r w:rsidR="009627E3">
        <w:rPr>
          <w:rStyle w:val="EndnoteReference"/>
        </w:rPr>
        <w:endnoteReference w:id="7"/>
      </w:r>
      <w:r>
        <w:t xml:space="preserve"> Using a binary categorization of self-reported race in the estimation of GFR is akin to substituting age in years for the patient's opinion of whether they feel old or young. There may be some association, but the construct is wrong (perception vs chronology</w:t>
      </w:r>
      <w:r w:rsidR="008645BB">
        <w:t>),</w:t>
      </w:r>
      <w:r>
        <w:t xml:space="preserve"> and the measurement scale is unnecessarily imprecise (binary vs continuous).</w:t>
      </w:r>
    </w:p>
    <w:p w14:paraId="49EE326D" w14:textId="43B572D2" w:rsidR="00484369" w:rsidRDefault="00484369" w:rsidP="00484369">
      <w:r>
        <w:t xml:space="preserve">How GFR is </w:t>
      </w:r>
      <w:r w:rsidR="00853654">
        <w:t>determined</w:t>
      </w:r>
      <w:r>
        <w:t xml:space="preserve"> represents a </w:t>
      </w:r>
      <w:r>
        <w:rPr>
          <w:i/>
          <w:iCs/>
        </w:rPr>
        <w:t>healthcare policy issue</w:t>
      </w:r>
      <w:r>
        <w:t xml:space="preserve"> because it impacts access to resources and equity of outcomes. Racism, in the form of unconscious bias, allowed race to be biologized in science. Race is a social construct that carries biological consequences and not a genetic marker with biologic expressions. Policy, in the form of a clinical practice guideline, made this racism structural. The policy implications are detailed below:</w:t>
      </w:r>
    </w:p>
    <w:p w14:paraId="52116486" w14:textId="77777777" w:rsidR="00484369" w:rsidRDefault="00484369" w:rsidP="00484369">
      <w:r>
        <w:rPr>
          <w:b/>
          <w:bCs/>
        </w:rPr>
        <w:t>Why</w:t>
      </w:r>
      <w:r>
        <w:t xml:space="preserve"> – The use of race in the calculation of GFR impacts the quality, cost, and access to healthcare. </w:t>
      </w:r>
    </w:p>
    <w:p w14:paraId="004A5C39" w14:textId="4B365307" w:rsidR="00484369" w:rsidRDefault="00484369" w:rsidP="008F42A4">
      <w:pPr>
        <w:pStyle w:val="ListParagraph"/>
        <w:numPr>
          <w:ilvl w:val="0"/>
          <w:numId w:val="9"/>
        </w:numPr>
      </w:pPr>
      <w:r w:rsidRPr="008F42A4">
        <w:rPr>
          <w:b/>
          <w:bCs/>
          <w:i/>
          <w:iCs/>
        </w:rPr>
        <w:t>Quality</w:t>
      </w:r>
      <w:r>
        <w:t xml:space="preserve"> – Of the six domains of quality, Equity, Effectiveness, and Timeliness are the three domains most clearly impacted. Equitable healthcare is "Providing care that does not vary in quality because of personal characteristics such as gender, ethnicity, geographic location, and socioeconomic status" and Black patients are less likely to be evaluated for transplant, entered onto the transplant wait list, and ultimately receive a transplant</w:t>
      </w:r>
      <w:r w:rsidR="0052719B">
        <w:t>.</w:t>
      </w:r>
      <w:r w:rsidR="0052719B">
        <w:rPr>
          <w:rStyle w:val="EndnoteReference"/>
        </w:rPr>
        <w:endnoteReference w:id="8"/>
      </w:r>
      <w:r w:rsidR="00E351E4">
        <w:rPr>
          <w:vertAlign w:val="superscript"/>
        </w:rPr>
        <w:t>,</w:t>
      </w:r>
      <w:r w:rsidR="00E351E4">
        <w:rPr>
          <w:rStyle w:val="EndnoteReference"/>
        </w:rPr>
        <w:endnoteReference w:id="9"/>
      </w:r>
      <w:r>
        <w:t xml:space="preserve"> Compared with those on dialysis, patients who received a transplant had a 68% lower risk of death after 18 months</w:t>
      </w:r>
      <w:r w:rsidR="005A0EAF" w:rsidRPr="00ED2E0B">
        <w:t>.</w:t>
      </w:r>
      <w:r w:rsidR="005A0EAF" w:rsidRPr="00ED2E0B">
        <w:rPr>
          <w:rStyle w:val="EndnoteReference"/>
        </w:rPr>
        <w:endnoteReference w:id="10"/>
      </w:r>
      <w:r>
        <w:t xml:space="preserve"> Effective healthcare is "Providing services based on scientific knowledge to all who could benefit and refraining from providing services to those not likely to benefit." Race is used in the calculation of GFR as a proxy for biologic factors such as muscle mass that can impact creatinine clearance. However, self-reported race is a less effective variable than several alternatives including measurement of muscle mass or genetic ancestry because (1.) continuous variables contain more information than categorical variables and (2.) self-reported race is confounded with social experiences of racism. Moreover, recent research has found that calculating estimated GFR without the race coefficient was more closely associated with directly observed GFR than when calculated with the race coefficient (r=0.75 vs r=0.61, respectively). Timely healthcare is "Reducing waits and sometimes harmful delays for both those who receive and those who give care." Use of the Black coefficient is associated with a 1.9 year longer wait for transplantation among Black patients as compared with Whites</w:t>
      </w:r>
      <w:r w:rsidR="0089338A">
        <w:t>.</w:t>
      </w:r>
      <w:r w:rsidR="0089338A">
        <w:rPr>
          <w:rStyle w:val="EndnoteReference"/>
        </w:rPr>
        <w:endnoteReference w:id="11"/>
      </w:r>
      <w:r>
        <w:t xml:space="preserve">  </w:t>
      </w:r>
    </w:p>
    <w:p w14:paraId="3FC0ADA1" w14:textId="147A6E1C" w:rsidR="00484369" w:rsidRDefault="00484369" w:rsidP="008F42A4">
      <w:pPr>
        <w:pStyle w:val="ListParagraph"/>
        <w:numPr>
          <w:ilvl w:val="0"/>
          <w:numId w:val="9"/>
        </w:numPr>
      </w:pPr>
      <w:r w:rsidRPr="008F42A4">
        <w:rPr>
          <w:b/>
          <w:bCs/>
          <w:i/>
          <w:iCs/>
        </w:rPr>
        <w:t>Cost</w:t>
      </w:r>
      <w:r>
        <w:t xml:space="preserve"> – Delays in transplant are associated with higher healthcare costs. Jassal and colleagues</w:t>
      </w:r>
      <w:r w:rsidR="008C2C6D">
        <w:rPr>
          <w:rStyle w:val="EndnoteReference"/>
        </w:rPr>
        <w:endnoteReference w:id="12"/>
      </w:r>
      <w:r>
        <w:t xml:space="preserve"> found that increasing the waitlist time from two to four years was associated with a tripling of the cost for a quality adjusted life year. The use of the Black coefficient may also increase costs </w:t>
      </w:r>
      <w:r>
        <w:lastRenderedPageBreak/>
        <w:t>for patients because eligibility for the End-Stage Renal Disease Medicaid and Medicare coverage is dependent upon GFR.</w:t>
      </w:r>
    </w:p>
    <w:p w14:paraId="0D1105D8" w14:textId="1958A13F" w:rsidR="008C50C4" w:rsidRDefault="00484369" w:rsidP="00484369">
      <w:r>
        <w:rPr>
          <w:b/>
          <w:bCs/>
        </w:rPr>
        <w:t>What</w:t>
      </w:r>
      <w:r>
        <w:t xml:space="preserve"> </w:t>
      </w:r>
    </w:p>
    <w:p w14:paraId="5DD1D8CC" w14:textId="3CDD1D51" w:rsidR="00484369" w:rsidRDefault="00484369" w:rsidP="008C50C4">
      <w:pPr>
        <w:pStyle w:val="ListParagraph"/>
        <w:numPr>
          <w:ilvl w:val="0"/>
          <w:numId w:val="10"/>
        </w:numPr>
      </w:pPr>
      <w:r>
        <w:t>The clinical practice guideline functions as a policy to allocate a scarce resource – kidney transplants. The guideline recommends the use of the Chronic Kidney Disease Epidemiology Collaboration (CKD-EPI) estimating equation. Recommendation 1.4.3.3 reads, "We recommend that clinicians use a GFR estimating equation to derive GFR from serum creatinine (eGFR</w:t>
      </w:r>
      <w:r w:rsidRPr="008C50C4">
        <w:rPr>
          <w:vertAlign w:val="subscript"/>
        </w:rPr>
        <w:t>creat</w:t>
      </w:r>
      <w:r>
        <w:t xml:space="preserve">) rather than relying on the serum creatinine concentration alone." </w:t>
      </w:r>
      <w:r w:rsidR="006D0F10">
        <w:rPr>
          <w:rStyle w:val="EndnoteReference"/>
        </w:rPr>
        <w:endnoteReference w:id="13"/>
      </w:r>
      <w:r>
        <w:t>This policy interacts with many others. For instance, the Organ Procurement and Transplantation Network's policy 8.3 states that the date GFR fell below 20 mL/min/1.73 m</w:t>
      </w:r>
      <w:r w:rsidRPr="008C50C4">
        <w:rPr>
          <w:vertAlign w:val="superscript"/>
        </w:rPr>
        <w:t>2</w:t>
      </w:r>
      <w:r>
        <w:t xml:space="preserve"> determines a patient's place on the wait list.</w:t>
      </w:r>
      <w:r w:rsidR="00CA2042">
        <w:rPr>
          <w:rStyle w:val="EndnoteReference"/>
        </w:rPr>
        <w:endnoteReference w:id="14"/>
      </w:r>
      <w:r>
        <w:t xml:space="preserve"> As the primary marker of kidney failure, GFR is also used to guide prescribing and determine insurance eligibility.</w:t>
      </w:r>
    </w:p>
    <w:p w14:paraId="4FD45F3F" w14:textId="77777777" w:rsidR="008C50C4" w:rsidRDefault="00484369" w:rsidP="00484369">
      <w:r>
        <w:rPr>
          <w:b/>
          <w:bCs/>
        </w:rPr>
        <w:t>Who</w:t>
      </w:r>
      <w:r>
        <w:t xml:space="preserve"> </w:t>
      </w:r>
    </w:p>
    <w:p w14:paraId="5676F422" w14:textId="2190ECAD" w:rsidR="00484369" w:rsidRDefault="00484369" w:rsidP="008C50C4">
      <w:pPr>
        <w:pStyle w:val="ListParagraph"/>
        <w:numPr>
          <w:ilvl w:val="0"/>
          <w:numId w:val="10"/>
        </w:numPr>
      </w:pPr>
      <w:r>
        <w:t>The policymakers in this vignette are the International Society of Nephrology who wrote the clinical practice guidelines. The stakeholders are patients with end stage renal disease and their families. Stakeholders also include the clinical laboratories that adopted the standards recommended in the guidelines, clinicians who based decisions upon the guideline's criteria, and insurers whose coverage is impacted by a patient's clinical course.</w:t>
      </w:r>
    </w:p>
    <w:p w14:paraId="0BA4464C" w14:textId="55007C99" w:rsidR="008C50C4" w:rsidRDefault="00484369" w:rsidP="00484369">
      <w:r>
        <w:rPr>
          <w:b/>
          <w:bCs/>
        </w:rPr>
        <w:t>Where</w:t>
      </w:r>
    </w:p>
    <w:p w14:paraId="2C809704" w14:textId="6FB847B8" w:rsidR="00484369" w:rsidRDefault="00484369" w:rsidP="008C50C4">
      <w:pPr>
        <w:pStyle w:val="ListParagraph"/>
        <w:numPr>
          <w:ilvl w:val="0"/>
          <w:numId w:val="10"/>
        </w:numPr>
      </w:pPr>
      <w:r>
        <w:t>The clinical practice guideline is from an international professional society. By itself, it carries no enforcement mechanism, offers no incentives, and provides no accreditation or credential. However, clinical practice guidelines from professional organizations inform government policy and healthcare organizations use them to establish protocols. Thus, an international professional organization can change the practice of a hospital's laboratory.</w:t>
      </w:r>
    </w:p>
    <w:p w14:paraId="740A8BFC" w14:textId="77777777" w:rsidR="008C50C4" w:rsidRDefault="00484369" w:rsidP="00484369">
      <w:r>
        <w:rPr>
          <w:b/>
          <w:bCs/>
        </w:rPr>
        <w:t>When</w:t>
      </w:r>
      <w:r>
        <w:t xml:space="preserve"> </w:t>
      </w:r>
    </w:p>
    <w:p w14:paraId="5C2E460C" w14:textId="3440FCA3" w:rsidR="00484369" w:rsidRDefault="00484369" w:rsidP="008C50C4">
      <w:pPr>
        <w:pStyle w:val="ListParagraph"/>
        <w:numPr>
          <w:ilvl w:val="0"/>
          <w:numId w:val="10"/>
        </w:numPr>
      </w:pPr>
      <w:r>
        <w:t>The flaws in using race as a biologic construct were known long before the development of GFR estimating equations</w:t>
      </w:r>
      <w:r w:rsidR="00E0570C">
        <w:t>.</w:t>
      </w:r>
      <w:r w:rsidR="00E0570C">
        <w:rPr>
          <w:rStyle w:val="EndnoteReference"/>
        </w:rPr>
        <w:endnoteReference w:id="15"/>
      </w:r>
      <w:r>
        <w:t xml:space="preserve">  Additionally, racial disparities in access to transplantation have been documented for decades</w:t>
      </w:r>
      <w:r w:rsidR="0039479F">
        <w:t>.</w:t>
      </w:r>
      <w:r w:rsidR="0039479F">
        <w:rPr>
          <w:rStyle w:val="EndnoteReference"/>
        </w:rPr>
        <w:endnoteReference w:id="16"/>
      </w:r>
      <w:r>
        <w:t xml:space="preserve"> In 2015, Udler and colleagues</w:t>
      </w:r>
      <w:r w:rsidR="00F2450D">
        <w:rPr>
          <w:rStyle w:val="EndnoteReference"/>
        </w:rPr>
        <w:endnoteReference w:id="17"/>
      </w:r>
      <w:r>
        <w:t xml:space="preserve"> published research demonstrating how genetic ancestry and polymorphisms better predicted renal function than self-reported ancestry. In the three years following publication, it was cited 18 times. The murders of Ahmaud Arbery, Breonna Taylor, George Floyd, and others changed the politics and public discourse of structural racism</w:t>
      </w:r>
      <w:r w:rsidR="00D4777F">
        <w:t>.</w:t>
      </w:r>
      <w:r w:rsidR="00D4777F">
        <w:rPr>
          <w:rStyle w:val="EndnoteReference"/>
        </w:rPr>
        <w:endnoteReference w:id="18"/>
      </w:r>
      <w:r>
        <w:t xml:space="preserve"> In this context, the publication of the opinion piece, "Reconsidering the Consequences of Using Race to Estimate Kidney Function" by </w:t>
      </w:r>
      <w:r w:rsidRPr="00B745E8">
        <w:t>Eneanya and colleagues</w:t>
      </w:r>
      <w:r w:rsidR="0033415B">
        <w:rPr>
          <w:rStyle w:val="EndnoteReference"/>
        </w:rPr>
        <w:endnoteReference w:id="19"/>
      </w:r>
      <w:r>
        <w:t xml:space="preserve"> aligned problem recognition, an altered politics, and a policy solution</w:t>
      </w:r>
      <w:r w:rsidR="00286C24">
        <w:t xml:space="preserve"> thereby </w:t>
      </w:r>
      <w:r w:rsidR="0066057D">
        <w:t>opening Kingdon's policy window</w:t>
      </w:r>
      <w:r>
        <w:t>. In the three years after Eneanya's article opened the policy window, Udler's article was cited 47 times. More importantly, laboratories across the country stopped using the Black coefficient when reporting GFR.</w:t>
      </w:r>
    </w:p>
    <w:p w14:paraId="76423324" w14:textId="77777777" w:rsidR="00484369" w:rsidRDefault="00484369" w:rsidP="00484369">
      <w:pPr>
        <w:rPr>
          <w:b/>
          <w:bCs/>
        </w:rPr>
      </w:pPr>
      <w:r>
        <w:rPr>
          <w:b/>
          <w:bCs/>
        </w:rPr>
        <w:t>How</w:t>
      </w:r>
    </w:p>
    <w:p w14:paraId="68C2D213" w14:textId="7771922C" w:rsidR="00484369" w:rsidRDefault="00C82DA1" w:rsidP="00FE1D4E">
      <w:pPr>
        <w:pStyle w:val="ListParagraph"/>
        <w:numPr>
          <w:ilvl w:val="0"/>
          <w:numId w:val="10"/>
        </w:numPr>
        <w:spacing w:after="0"/>
      </w:pPr>
      <w:r>
        <w:lastRenderedPageBreak/>
        <w:t xml:space="preserve">As described above, analysis </w:t>
      </w:r>
      <w:r w:rsidR="0080135E">
        <w:t xml:space="preserve">on the impact of the black coefficient has demonstrated that </w:t>
      </w:r>
      <w:r w:rsidR="007A6AA4">
        <w:t xml:space="preserve">Black patients </w:t>
      </w:r>
      <w:r w:rsidR="004C4865">
        <w:t xml:space="preserve">wait longer </w:t>
      </w:r>
      <w:r w:rsidR="00820EC5">
        <w:t>for kidney transplantation than White patients and have worse outcomes.</w:t>
      </w:r>
    </w:p>
    <w:p w14:paraId="5B0192D3" w14:textId="3333ED83" w:rsidR="007A1562" w:rsidRDefault="00564862" w:rsidP="00FE1D4E">
      <w:pPr>
        <w:pStyle w:val="ListParagraph"/>
        <w:numPr>
          <w:ilvl w:val="0"/>
          <w:numId w:val="10"/>
        </w:numPr>
        <w:spacing w:after="0"/>
      </w:pPr>
      <w:r>
        <w:t xml:space="preserve">Advocacy </w:t>
      </w:r>
      <w:r w:rsidR="00C310E3">
        <w:t xml:space="preserve">regarding this issue reached the national </w:t>
      </w:r>
      <w:r w:rsidR="00012B08">
        <w:t>news</w:t>
      </w:r>
      <w:r w:rsidR="00313A3A">
        <w:t>.</w:t>
      </w:r>
      <w:r w:rsidR="000121FE">
        <w:rPr>
          <w:rStyle w:val="EndnoteReference"/>
        </w:rPr>
        <w:endnoteReference w:id="20"/>
      </w:r>
      <w:r w:rsidR="00313A3A">
        <w:t xml:space="preserve"> It has also</w:t>
      </w:r>
      <w:r>
        <w:t xml:space="preserve"> prompted</w:t>
      </w:r>
      <w:r w:rsidR="007276CF">
        <w:t xml:space="preserve"> the</w:t>
      </w:r>
      <w:r>
        <w:t xml:space="preserve"> </w:t>
      </w:r>
      <w:r w:rsidR="007276CF" w:rsidRPr="007276CF">
        <w:t>American Society of Nephrology (ASN) and the National Kidney Foundation (NKF)</w:t>
      </w:r>
      <w:r w:rsidR="007276CF">
        <w:t xml:space="preserve"> to form a joint task force</w:t>
      </w:r>
      <w:r w:rsidR="000978CE">
        <w:t xml:space="preserve"> </w:t>
      </w:r>
      <w:r w:rsidR="005D78DC">
        <w:t>to re-examine the use of race in the calculation of GFR.</w:t>
      </w:r>
      <w:r w:rsidR="007276CF">
        <w:t xml:space="preserve"> </w:t>
      </w:r>
      <w:r w:rsidR="001C73F0">
        <w:t xml:space="preserve">On 9/23/21 the task force released their recommendation that laboratories across the country </w:t>
      </w:r>
      <w:r w:rsidR="00516021">
        <w:t>estimate GFR without the race coefficient.</w:t>
      </w:r>
      <w:r w:rsidR="00516021">
        <w:rPr>
          <w:rStyle w:val="EndnoteReference"/>
        </w:rPr>
        <w:endnoteReference w:id="21"/>
      </w:r>
    </w:p>
    <w:p w14:paraId="2233D8CE" w14:textId="77777777" w:rsidR="00396227" w:rsidRDefault="00396227" w:rsidP="00396227"/>
    <w:p w14:paraId="3BB40600" w14:textId="60837102" w:rsidR="00396227" w:rsidRDefault="00396227" w:rsidP="00396227">
      <w:pPr>
        <w:pStyle w:val="Heading2"/>
      </w:pPr>
      <w:r w:rsidRPr="00396227">
        <w:t>Vignette 2: Enteral Feeding Tube Connect</w:t>
      </w:r>
      <w:r>
        <w:t>ors and Patient Safety</w:t>
      </w:r>
    </w:p>
    <w:p w14:paraId="38487FFD" w14:textId="77777777" w:rsidR="00BA49B5" w:rsidRPr="00C4491C" w:rsidRDefault="00BA49B5" w:rsidP="00BA49B5">
      <w:r w:rsidRPr="00C4491C">
        <w:t>As a result of many deaths and medical errors, the California Hospital Association and other healthcare and patient advocacy groups collaborated with the California legislature to introduce Senate Bill 158 authored by California State Senator Dean Florez in 2008.</w:t>
      </w:r>
      <w:r w:rsidRPr="00C4491C">
        <w:rPr>
          <w:rStyle w:val="EndnoteReference"/>
        </w:rPr>
        <w:endnoteReference w:id="22"/>
      </w:r>
      <w:r w:rsidRPr="00C4491C">
        <w:t xml:space="preserve">  The bill was successfully signed into law by the Governor of California. The law prohibited health facilities from using an intravenous connection, epidural connection, or enteral feeding connection that would fit into a connection port other than the type it was intended for.  Yet enteral feeding tube connections were manufactured with Leur lock connection, which were the connections also for IV and epidural connections.  Therefore, health facilities could not use enteral-specific connectors if they did not exist.</w:t>
      </w:r>
      <w:r w:rsidRPr="00C4491C">
        <w:rPr>
          <w:rStyle w:val="EndnoteReference"/>
        </w:rPr>
        <w:endnoteReference w:id="23"/>
      </w:r>
      <w:r w:rsidRPr="00C4491C">
        <w:t xml:space="preserve">  The passage of this law was one of the major impetuses to have the device manufacturing companies to develop an alternative connector for enteral feeding tubes and syringes.  Subsequent laws were required to extend the deadline to allow for the manufacturers to design and manufacture appropriate tubing and syringes.</w:t>
      </w:r>
      <w:r w:rsidRPr="00C4491C">
        <w:rPr>
          <w:rStyle w:val="EndnoteReference"/>
        </w:rPr>
        <w:endnoteReference w:id="24"/>
      </w:r>
    </w:p>
    <w:p w14:paraId="5062E999" w14:textId="77777777" w:rsidR="00BA49B5" w:rsidRPr="00C4491C" w:rsidRDefault="00BA49B5" w:rsidP="00BA49B5">
      <w:r w:rsidRPr="00C4491C">
        <w:t>In 2009, AdvaMed, the manufacturers’ trade association successfully pushed legislation (Assembly Bill 444, 2016) to delay the bill’s effects until 2013 or 2014 or until an international standards group reached a decision on appropriate standards for enteral feeding tube connection design.</w:t>
      </w:r>
      <w:r w:rsidRPr="00C4491C">
        <w:rPr>
          <w:rStyle w:val="EndnoteReference"/>
        </w:rPr>
        <w:endnoteReference w:id="25"/>
      </w:r>
    </w:p>
    <w:p w14:paraId="7DA87782" w14:textId="77777777" w:rsidR="00BA49B5" w:rsidRPr="00C4491C" w:rsidRDefault="00BA49B5" w:rsidP="00BA49B5">
      <w:r w:rsidRPr="00C4491C">
        <w:t>A New York Times article published in 2010 written by Gardiner Harris profiled multiple people who died as a result of tubing misconnections and identified opportunities within the manufacturer trade associations and the Food and Drug Administration (FDA) bureaucracy that caused delays in improving patient safety.</w:t>
      </w:r>
    </w:p>
    <w:p w14:paraId="42FDA9C4" w14:textId="77777777" w:rsidR="00BA49B5" w:rsidRPr="00C4491C" w:rsidRDefault="00BA49B5" w:rsidP="00BA49B5">
      <w:r w:rsidRPr="00C4491C">
        <w:t xml:space="preserve">A research study was published in 2011 by Debora Simmons and colleagues titled, Tubing Misconnections: Normalization of Deviance in the journal, </w:t>
      </w:r>
      <w:r w:rsidRPr="00C4491C">
        <w:rPr>
          <w:u w:val="single"/>
        </w:rPr>
        <w:t>Nutrition in Clinical Practice</w:t>
      </w:r>
      <w:r w:rsidRPr="00C4491C">
        <w:t>.</w:t>
      </w:r>
      <w:r w:rsidRPr="00C4491C">
        <w:rPr>
          <w:rStyle w:val="EndnoteReference"/>
        </w:rPr>
        <w:endnoteReference w:id="26"/>
      </w:r>
      <w:r w:rsidRPr="00C4491C">
        <w:t xml:space="preserve">  The authors reviewed 116 published cases of nutrition tubing misconnections with IV and other inappropriate tubing and devices.  Of the 116 cases, 21 patients died and 95 survived.  Out of the 95 survivors, 84 had at least 1 diagnosis reported.  Diagnoses included respiratory conditions including cardiopulmonary arrest (n=37, 44%) sepsis (n=16, 19%), neurological harm (n=11, 13%), renal impairment (n=8, 9.5%).  Additionally, ECRI, an independent nonprofit organization dedicated to improving the safety, quality, and cost-effectiveness of healthcare and is the only organization worldwide that conducts independent medical device evaluations, identified enteral feeding tube misconnections as one of the top 10 technology hazards in 2012.</w:t>
      </w:r>
    </w:p>
    <w:p w14:paraId="1866A1A4" w14:textId="77777777" w:rsidR="00BA49B5" w:rsidRPr="00C4491C" w:rsidRDefault="00BA49B5" w:rsidP="00BA49B5">
      <w:r w:rsidRPr="00C4491C">
        <w:t>In 2015, the new international design standard for enteral feeding tube devices was released.  The initiative by the Global Enteral Device Supplier Association (GEDSA) titled, “Stay Connected,” unveiled ENFit</w:t>
      </w:r>
      <w:r w:rsidRPr="00C4491C">
        <w:rPr>
          <w:rFonts w:cstheme="minorHAnsi"/>
        </w:rPr>
        <w:t>®, the enteral feeding tube connection.</w:t>
      </w:r>
      <w:r w:rsidRPr="00C4491C">
        <w:rPr>
          <w:rStyle w:val="EndnoteReference"/>
          <w:rFonts w:cstheme="minorHAnsi"/>
        </w:rPr>
        <w:endnoteReference w:id="27"/>
      </w:r>
      <w:r w:rsidRPr="00C4491C">
        <w:rPr>
          <w:rFonts w:cstheme="minorHAnsi"/>
        </w:rPr>
        <w:t xml:space="preserve">  The healthcare industry was then able to order appropriate supplies, train staff, and improve safety in patient care.</w:t>
      </w:r>
    </w:p>
    <w:p w14:paraId="3453D776" w14:textId="77777777" w:rsidR="00BA49B5" w:rsidRDefault="00BA49B5" w:rsidP="00BA49B5">
      <w:r w:rsidRPr="00F466A1">
        <w:rPr>
          <w:b/>
          <w:bCs/>
        </w:rPr>
        <w:lastRenderedPageBreak/>
        <w:t>Why</w:t>
      </w:r>
    </w:p>
    <w:p w14:paraId="0F7D9D44" w14:textId="77777777" w:rsidR="00BA49B5" w:rsidRPr="006C246C" w:rsidRDefault="00BA49B5" w:rsidP="00BA49B5">
      <w:pPr>
        <w:pStyle w:val="ListParagraph"/>
        <w:numPr>
          <w:ilvl w:val="0"/>
          <w:numId w:val="4"/>
        </w:numPr>
      </w:pPr>
      <w:r>
        <w:t>Enteral feeding tubes and syringes across the world were being connected to IV and epidural lines causing severe morbidity and mortality in multiple practice settings and in multiple patient populations in the inpatient settings and long-term care.  These errors can lead to secondary trauma to the healthcare providers involved in the situations and can also create significant financial costs to the healthcare system, patients, and families.</w:t>
      </w:r>
    </w:p>
    <w:p w14:paraId="6106F38C" w14:textId="77777777" w:rsidR="00BA49B5" w:rsidRDefault="00BA49B5" w:rsidP="00BA49B5">
      <w:r w:rsidRPr="00ED0367">
        <w:rPr>
          <w:b/>
          <w:bCs/>
        </w:rPr>
        <w:t>Who</w:t>
      </w:r>
    </w:p>
    <w:p w14:paraId="62BA2463" w14:textId="77777777" w:rsidR="00BA49B5" w:rsidRDefault="00BA49B5" w:rsidP="00BA49B5">
      <w:pPr>
        <w:pStyle w:val="ListParagraph"/>
        <w:numPr>
          <w:ilvl w:val="0"/>
          <w:numId w:val="2"/>
        </w:numPr>
      </w:pPr>
      <w:r>
        <w:t>Patients and families provided the stories of morbidity and death due to medical device errors served as the catalyst for policy makers, researchers, legislators, and accreditation agencies (i.e., the Joint Commission) to notice and take action.</w:t>
      </w:r>
    </w:p>
    <w:p w14:paraId="1A12E4B3" w14:textId="1E0F4880" w:rsidR="00BA49B5" w:rsidRDefault="008645BB" w:rsidP="00BA49B5">
      <w:pPr>
        <w:pStyle w:val="ListParagraph"/>
        <w:numPr>
          <w:ilvl w:val="0"/>
          <w:numId w:val="2"/>
        </w:numPr>
      </w:pPr>
      <w:r>
        <w:t>Researchers, Simmons, and colleagues</w:t>
      </w:r>
      <w:r w:rsidR="00BA49B5">
        <w:t xml:space="preserve"> studied the incidence and prevalence of medical errors and the impact on health and the costs of care.</w:t>
      </w:r>
    </w:p>
    <w:p w14:paraId="61DC6EBB" w14:textId="77777777" w:rsidR="00BA49B5" w:rsidRDefault="00BA49B5" w:rsidP="00BA49B5">
      <w:pPr>
        <w:pStyle w:val="ListParagraph"/>
        <w:numPr>
          <w:ilvl w:val="0"/>
          <w:numId w:val="2"/>
        </w:numPr>
      </w:pPr>
      <w:r>
        <w:t>Policymakers, such as ECRI and the California Hospital Association and other healthcare and patient associations, listened to the stories, read the research, advocated for regulatory and statutory changes.</w:t>
      </w:r>
    </w:p>
    <w:p w14:paraId="6090F59E" w14:textId="2629B0EE" w:rsidR="00BA49B5" w:rsidRDefault="00BA49B5" w:rsidP="00BA49B5">
      <w:pPr>
        <w:pStyle w:val="ListParagraph"/>
        <w:numPr>
          <w:ilvl w:val="0"/>
          <w:numId w:val="2"/>
        </w:numPr>
      </w:pPr>
      <w:r>
        <w:t>The manufacturer trade association, AdvaMed, set standards for device design and manufacturing.  They also needed to advocate for the manufactur</w:t>
      </w:r>
      <w:r w:rsidR="003F1470">
        <w:t>ers and revise standards.</w:t>
      </w:r>
    </w:p>
    <w:p w14:paraId="342B87A4" w14:textId="77777777" w:rsidR="00BA49B5" w:rsidRDefault="00BA49B5" w:rsidP="00BA49B5">
      <w:pPr>
        <w:pStyle w:val="ListParagraph"/>
        <w:numPr>
          <w:ilvl w:val="0"/>
          <w:numId w:val="2"/>
        </w:numPr>
      </w:pPr>
      <w:r>
        <w:t xml:space="preserve">Legislators, such as </w:t>
      </w:r>
      <w:r w:rsidRPr="00D91B55">
        <w:t>California State Senator Dean Florez</w:t>
      </w:r>
      <w:r>
        <w:t>, worked with all stakeholders to enact policy into law.</w:t>
      </w:r>
    </w:p>
    <w:p w14:paraId="04FF5EDF" w14:textId="77777777" w:rsidR="00BA49B5" w:rsidRDefault="00BA49B5" w:rsidP="00BA49B5">
      <w:r w:rsidRPr="00E103DF">
        <w:rPr>
          <w:b/>
          <w:bCs/>
        </w:rPr>
        <w:t>What</w:t>
      </w:r>
    </w:p>
    <w:p w14:paraId="53E73EA4" w14:textId="708065A0" w:rsidR="00BA49B5" w:rsidRDefault="00BA49B5" w:rsidP="00BA49B5">
      <w:pPr>
        <w:pStyle w:val="ListParagraph"/>
        <w:numPr>
          <w:ilvl w:val="0"/>
          <w:numId w:val="3"/>
        </w:numPr>
      </w:pPr>
      <w:r>
        <w:t xml:space="preserve">The policy focused on Russell &amp; Fawcett’s Level 2.  The change in enteral feeding connectors improved quality of patient care within health care delivery systems initially in </w:t>
      </w:r>
      <w:r w:rsidR="008645BB">
        <w:t>California but</w:t>
      </w:r>
      <w:r>
        <w:t xml:space="preserve"> spread to other states and internationally.</w:t>
      </w:r>
    </w:p>
    <w:p w14:paraId="695B0B2B" w14:textId="061F3FD2" w:rsidR="00BA49B5" w:rsidRDefault="00BA49B5" w:rsidP="00BA49B5">
      <w:pPr>
        <w:pStyle w:val="ListParagraph"/>
        <w:numPr>
          <w:ilvl w:val="0"/>
          <w:numId w:val="3"/>
        </w:numPr>
      </w:pPr>
      <w:r>
        <w:t xml:space="preserve">When examining this exemplar in light of the CDC POLARIS framework, it is interesting that implementation of the policy and the law needed to </w:t>
      </w:r>
      <w:r w:rsidR="00E36533">
        <w:t xml:space="preserve">be </w:t>
      </w:r>
      <w:r>
        <w:t>delayed (introduction</w:t>
      </w:r>
      <w:r w:rsidR="00884989">
        <w:t xml:space="preserve"> and passage</w:t>
      </w:r>
      <w:r>
        <w:t xml:space="preserve"> of</w:t>
      </w:r>
      <w:r w:rsidR="00884989">
        <w:t xml:space="preserve"> California</w:t>
      </w:r>
      <w:r>
        <w:t xml:space="preserve"> Assembly Bill 444</w:t>
      </w:r>
      <w:r w:rsidR="00884989">
        <w:rPr>
          <w:rStyle w:val="EndnoteReference"/>
        </w:rPr>
        <w:endnoteReference w:id="28"/>
      </w:r>
      <w:r>
        <w:t xml:space="preserve">) due to the industry not being ready with the safety tested devices. </w:t>
      </w:r>
    </w:p>
    <w:p w14:paraId="64C8588B" w14:textId="77777777" w:rsidR="00BA49B5" w:rsidRDefault="00BA49B5" w:rsidP="00BA49B5">
      <w:r w:rsidRPr="00161225">
        <w:rPr>
          <w:b/>
          <w:bCs/>
        </w:rPr>
        <w:t>When</w:t>
      </w:r>
      <w:r>
        <w:t xml:space="preserve"> </w:t>
      </w:r>
    </w:p>
    <w:p w14:paraId="74F9CA39" w14:textId="77777777" w:rsidR="00BA49B5" w:rsidRDefault="00BA49B5" w:rsidP="00BA49B5">
      <w:pPr>
        <w:pStyle w:val="ListParagraph"/>
        <w:numPr>
          <w:ilvl w:val="0"/>
          <w:numId w:val="5"/>
        </w:numPr>
      </w:pPr>
      <w:r>
        <w:t>The policy window per Kingdon’s Policy Streams Theory was opened when research, policy makers, non-profit agencies, and clinicians identified a quality and patient safety gap.  Legislation, a national press article, nursing and trade associations continued to push for policy changes.</w:t>
      </w:r>
    </w:p>
    <w:p w14:paraId="2DCFE4F8" w14:textId="77777777" w:rsidR="00BA49B5" w:rsidRDefault="00BA49B5" w:rsidP="00BA49B5">
      <w:pPr>
        <w:rPr>
          <w:b/>
          <w:bCs/>
        </w:rPr>
      </w:pPr>
      <w:r w:rsidRPr="003C4A35">
        <w:rPr>
          <w:b/>
          <w:bCs/>
        </w:rPr>
        <w:t>Where</w:t>
      </w:r>
    </w:p>
    <w:p w14:paraId="1B8FC61A" w14:textId="77777777" w:rsidR="00BA49B5" w:rsidRDefault="00BA49B5" w:rsidP="00BA49B5">
      <w:pPr>
        <w:pStyle w:val="ListParagraph"/>
        <w:numPr>
          <w:ilvl w:val="0"/>
          <w:numId w:val="5"/>
        </w:numPr>
      </w:pPr>
      <w:r>
        <w:t>Engaging in policy work happened at multiple levels.  The beginning policy work occurred in California with introduction of legislation to change the enteral feeding tube connectors.  The bill, Senate Bill 158, passed through the bicameral California legislature and was signed into law by the Governor.  While the bill was signed into law, the manufacturers did not have Luer lock alternatives and so needed to design, test, get approval from the FDA, and then manufacture the new devices.  So, continued policy work needed to occur at the national and international levels to ensure that the policy could be implemented to improve safe patient care.</w:t>
      </w:r>
    </w:p>
    <w:p w14:paraId="75AF9C46" w14:textId="77777777" w:rsidR="00BA49B5" w:rsidRPr="008A7E19" w:rsidRDefault="00BA49B5" w:rsidP="00BA49B5">
      <w:pPr>
        <w:rPr>
          <w:b/>
          <w:bCs/>
        </w:rPr>
      </w:pPr>
      <w:r w:rsidRPr="00F466A1">
        <w:rPr>
          <w:b/>
          <w:bCs/>
        </w:rPr>
        <w:lastRenderedPageBreak/>
        <w:t>How</w:t>
      </w:r>
    </w:p>
    <w:p w14:paraId="511C8489" w14:textId="77777777" w:rsidR="00696487" w:rsidRPr="00696487" w:rsidRDefault="00BA49B5" w:rsidP="00696487">
      <w:pPr>
        <w:pStyle w:val="ListParagraph"/>
        <w:numPr>
          <w:ilvl w:val="0"/>
          <w:numId w:val="5"/>
        </w:numPr>
        <w:rPr>
          <w:b/>
          <w:bCs/>
        </w:rPr>
      </w:pPr>
      <w:r>
        <w:t>Once the policy was enacted into law and the manufacturers had approval to manufacture the new product, ENFit</w:t>
      </w:r>
      <w:r>
        <w:rPr>
          <w:rFonts w:cstheme="minorHAnsi"/>
        </w:rPr>
        <w:t>®</w:t>
      </w:r>
      <w:r>
        <w:t>, the industry and nursing community created the “Stay Connected” initiative to educate healthcare personnel, conduct research, write position statements, and advocate for patient safety</w:t>
      </w:r>
      <w:r w:rsidR="00696487">
        <w:t>.</w:t>
      </w:r>
    </w:p>
    <w:p w14:paraId="0B94A324" w14:textId="6D61ED20" w:rsidR="00827CAF" w:rsidRDefault="007D7051" w:rsidP="00696487">
      <w:pPr>
        <w:pStyle w:val="Heading1"/>
      </w:pPr>
      <w:r>
        <w:t>Policy Resources</w:t>
      </w:r>
    </w:p>
    <w:p w14:paraId="7F3E4030" w14:textId="77777777" w:rsidR="00212696" w:rsidRDefault="007D7051" w:rsidP="007D7051">
      <w:r>
        <w:t>Th</w:t>
      </w:r>
      <w:r w:rsidR="00083922">
        <w:t>is</w:t>
      </w:r>
      <w:r>
        <w:t xml:space="preserve"> partial list of</w:t>
      </w:r>
      <w:r w:rsidR="00083922">
        <w:t xml:space="preserve"> various resources is provided to help faculty </w:t>
      </w:r>
      <w:r w:rsidR="00212696">
        <w:t>with teaching policy and to advance student learning.</w:t>
      </w:r>
    </w:p>
    <w:p w14:paraId="55F33F4D" w14:textId="77777777" w:rsidR="00B86055" w:rsidRPr="002F4662" w:rsidRDefault="00B86055" w:rsidP="00547488">
      <w:pPr>
        <w:pStyle w:val="Heading2"/>
        <w:rPr>
          <w:rFonts w:asciiTheme="minorHAnsi" w:hAnsiTheme="minorHAnsi" w:cstheme="minorHAnsi"/>
          <w:sz w:val="18"/>
          <w:szCs w:val="18"/>
        </w:rPr>
      </w:pPr>
      <w:r w:rsidRPr="002F4662">
        <w:rPr>
          <w:rStyle w:val="normaltextrun"/>
          <w:rFonts w:asciiTheme="minorHAnsi" w:hAnsiTheme="minorHAnsi" w:cstheme="minorHAnsi"/>
          <w:sz w:val="24"/>
          <w:szCs w:val="24"/>
        </w:rPr>
        <w:t>Policy curriculum guides and related articles</w:t>
      </w:r>
      <w:r w:rsidRPr="002F4662">
        <w:rPr>
          <w:rStyle w:val="eop"/>
          <w:rFonts w:asciiTheme="minorHAnsi" w:hAnsiTheme="minorHAnsi" w:cstheme="minorHAnsi"/>
          <w:sz w:val="24"/>
          <w:szCs w:val="24"/>
        </w:rPr>
        <w:t> </w:t>
      </w:r>
    </w:p>
    <w:p w14:paraId="6FD061A2" w14:textId="51992880" w:rsidR="00B86055" w:rsidRPr="00A545E2" w:rsidRDefault="00A545E2" w:rsidP="00A545E2">
      <w:pPr>
        <w:pStyle w:val="Heading2"/>
        <w:shd w:val="clear" w:color="auto" w:fill="F9FAFB"/>
        <w:spacing w:before="0" w:line="240" w:lineRule="auto"/>
        <w:ind w:left="720" w:hanging="720"/>
        <w:rPr>
          <w:rFonts w:ascii="Times New Roman" w:hAnsi="Times New Roman" w:cs="Times New Roman"/>
          <w:sz w:val="24"/>
          <w:szCs w:val="24"/>
        </w:rPr>
      </w:pPr>
      <w:r w:rsidRPr="003F1470">
        <w:rPr>
          <w:rFonts w:ascii="Times New Roman" w:hAnsi="Times New Roman" w:cs="Times New Roman"/>
          <w:sz w:val="24"/>
          <w:szCs w:val="24"/>
        </w:rPr>
        <w:t xml:space="preserve">Teach Population Health </w:t>
      </w:r>
      <w:hyperlink r:id="rId11" w:tgtFrame="_blank" w:history="1">
        <w:r w:rsidR="00B86055" w:rsidRPr="003F1470">
          <w:rPr>
            <w:rStyle w:val="Hyperlink"/>
            <w:rFonts w:ascii="Times New Roman" w:hAnsi="Times New Roman" w:cs="Times New Roman"/>
            <w:sz w:val="24"/>
            <w:szCs w:val="24"/>
          </w:rPr>
          <w:t>Component 4-2015</w:t>
        </w:r>
        <w:r w:rsidRPr="003F1470">
          <w:rPr>
            <w:rStyle w:val="Hyperlink"/>
            <w:rFonts w:ascii="Times New Roman" w:hAnsi="Times New Roman" w:cs="Times New Roman"/>
            <w:sz w:val="24"/>
            <w:szCs w:val="24"/>
          </w:rPr>
          <w:t xml:space="preserve"> Health Systems and Health Policy in </w:t>
        </w:r>
        <w:r w:rsidR="00B86055" w:rsidRPr="003F1470">
          <w:rPr>
            <w:rStyle w:val="Hyperlink"/>
            <w:rFonts w:ascii="Times New Roman" w:hAnsi="Times New Roman" w:cs="Times New Roman"/>
            <w:sz w:val="24"/>
            <w:szCs w:val="24"/>
          </w:rPr>
          <w:t xml:space="preserve"> CLINICAL PREVENTION &amp; POPULATION HEALTH CURRICULUM FRAMEWORK (teachpopulationhealth.org)</w:t>
        </w:r>
      </w:hyperlink>
      <w:r w:rsidRPr="003F1470">
        <w:rPr>
          <w:rStyle w:val="normaltextrun"/>
          <w:rFonts w:ascii="Times New Roman" w:hAnsi="Times New Roman" w:cs="Times New Roman"/>
          <w:color w:val="0000FF"/>
          <w:sz w:val="24"/>
          <w:szCs w:val="24"/>
        </w:rPr>
        <w:t xml:space="preserve"> </w:t>
      </w:r>
      <w:r w:rsidRPr="00A545E2">
        <w:rPr>
          <w:rStyle w:val="normaltextrun"/>
          <w:rFonts w:ascii="Times New Roman" w:hAnsi="Times New Roman" w:cs="Times New Roman"/>
          <w:color w:val="0000FF"/>
          <w:sz w:val="24"/>
          <w:szCs w:val="24"/>
        </w:rPr>
        <w:t xml:space="preserve"> </w:t>
      </w:r>
      <w:hyperlink r:id="rId12" w:tgtFrame="_blank" w:history="1">
        <w:r w:rsidR="00B86055" w:rsidRPr="00A545E2">
          <w:rPr>
            <w:rStyle w:val="normaltextrun"/>
            <w:rFonts w:ascii="Times New Roman" w:hAnsi="Times New Roman" w:cs="Times New Roman"/>
            <w:color w:val="0000FF"/>
            <w:sz w:val="24"/>
            <w:szCs w:val="24"/>
          </w:rPr>
          <w:t>Educating nurses for leadership roles.</w:t>
        </w:r>
      </w:hyperlink>
      <w:r w:rsidR="00B86055" w:rsidRPr="00A545E2">
        <w:rPr>
          <w:rStyle w:val="normaltextrun"/>
          <w:rFonts w:ascii="Times New Roman" w:hAnsi="Times New Roman" w:cs="Times New Roman"/>
          <w:color w:val="212121"/>
          <w:sz w:val="24"/>
          <w:szCs w:val="24"/>
        </w:rPr>
        <w:t> </w:t>
      </w:r>
      <w:r w:rsidR="00B86055" w:rsidRPr="00A545E2">
        <w:rPr>
          <w:rStyle w:val="eop"/>
          <w:rFonts w:ascii="Times New Roman" w:hAnsi="Times New Roman" w:cs="Times New Roman"/>
          <w:color w:val="212121"/>
          <w:sz w:val="24"/>
          <w:szCs w:val="24"/>
        </w:rPr>
        <w:t> </w:t>
      </w:r>
    </w:p>
    <w:p w14:paraId="283E7CF0" w14:textId="5E2F19A6" w:rsidR="00B86055" w:rsidRPr="00A545E2" w:rsidRDefault="00B86055" w:rsidP="00B86055">
      <w:pPr>
        <w:pStyle w:val="paragraph"/>
        <w:shd w:val="clear" w:color="auto" w:fill="FFFFFF"/>
        <w:ind w:left="360" w:hanging="360"/>
        <w:rPr>
          <w:rFonts w:ascii="Times New Roman" w:hAnsi="Times New Roman" w:cs="Times New Roman"/>
          <w:sz w:val="24"/>
          <w:szCs w:val="24"/>
        </w:rPr>
      </w:pPr>
      <w:r w:rsidRPr="00A545E2">
        <w:rPr>
          <w:rStyle w:val="normaltextrun"/>
          <w:rFonts w:ascii="Times New Roman" w:hAnsi="Times New Roman" w:cs="Times New Roman"/>
          <w:color w:val="212121"/>
          <w:sz w:val="24"/>
          <w:szCs w:val="24"/>
        </w:rPr>
        <w:t> </w:t>
      </w:r>
      <w:r w:rsidRPr="00A545E2">
        <w:rPr>
          <w:rStyle w:val="normaltextrun"/>
          <w:rFonts w:ascii="Times New Roman" w:hAnsi="Times New Roman" w:cs="Times New Roman"/>
          <w:sz w:val="24"/>
          <w:szCs w:val="24"/>
        </w:rPr>
        <w:t>Turale, S., &amp; Kunaviktikul, W. (2019) </w:t>
      </w:r>
      <w:hyperlink r:id="rId13" w:tgtFrame="_blank" w:history="1">
        <w:r w:rsidRPr="00A545E2">
          <w:rPr>
            <w:rStyle w:val="normaltextrun"/>
            <w:rFonts w:ascii="Times New Roman" w:hAnsi="Times New Roman" w:cs="Times New Roman"/>
            <w:color w:val="0000FF"/>
            <w:sz w:val="24"/>
            <w:szCs w:val="24"/>
          </w:rPr>
          <w:t>The contribution of nurses to health policy and advocacy requires leaders to provide training and mentorship.</w:t>
        </w:r>
      </w:hyperlink>
      <w:r w:rsidRPr="00A545E2">
        <w:rPr>
          <w:rStyle w:val="normaltextrun"/>
          <w:rFonts w:ascii="Times New Roman" w:hAnsi="Times New Roman" w:cs="Times New Roman"/>
          <w:color w:val="212121"/>
          <w:sz w:val="24"/>
          <w:szCs w:val="24"/>
        </w:rPr>
        <w:t>   </w:t>
      </w:r>
      <w:r w:rsidRPr="00A545E2">
        <w:rPr>
          <w:rFonts w:ascii="Times New Roman" w:hAnsi="Times New Roman" w:cs="Times New Roman"/>
          <w:i/>
          <w:iCs/>
          <w:sz w:val="24"/>
          <w:szCs w:val="24"/>
        </w:rPr>
        <w:t xml:space="preserve">International </w:t>
      </w:r>
      <w:r w:rsidR="00A545E2" w:rsidRPr="00A545E2">
        <w:rPr>
          <w:rFonts w:ascii="Times New Roman" w:hAnsi="Times New Roman" w:cs="Times New Roman"/>
          <w:i/>
          <w:iCs/>
          <w:sz w:val="24"/>
          <w:szCs w:val="24"/>
        </w:rPr>
        <w:t>Nursing Review</w:t>
      </w:r>
      <w:r w:rsidRPr="00A545E2">
        <w:rPr>
          <w:rFonts w:ascii="Times New Roman" w:hAnsi="Times New Roman" w:cs="Times New Roman"/>
          <w:sz w:val="24"/>
          <w:szCs w:val="24"/>
        </w:rPr>
        <w:t>, </w:t>
      </w:r>
      <w:r w:rsidRPr="00A545E2">
        <w:rPr>
          <w:rFonts w:ascii="Times New Roman" w:hAnsi="Times New Roman" w:cs="Times New Roman"/>
          <w:i/>
          <w:iCs/>
          <w:sz w:val="24"/>
          <w:szCs w:val="24"/>
        </w:rPr>
        <w:t>66</w:t>
      </w:r>
      <w:r w:rsidRPr="00A545E2">
        <w:rPr>
          <w:rFonts w:ascii="Times New Roman" w:hAnsi="Times New Roman" w:cs="Times New Roman"/>
          <w:sz w:val="24"/>
          <w:szCs w:val="24"/>
        </w:rPr>
        <w:t>(3), 302–304. </w:t>
      </w:r>
      <w:hyperlink r:id="rId14" w:tgtFrame="_blank" w:history="1">
        <w:r w:rsidRPr="00A545E2">
          <w:rPr>
            <w:rStyle w:val="normaltextrun"/>
            <w:rFonts w:ascii="Times New Roman" w:hAnsi="Times New Roman" w:cs="Times New Roman"/>
            <w:color w:val="0000FF"/>
            <w:sz w:val="24"/>
            <w:szCs w:val="24"/>
          </w:rPr>
          <w:t>https://doi.org/10.1111/inr.12550</w:t>
        </w:r>
      </w:hyperlink>
      <w:r w:rsidRPr="00A545E2">
        <w:rPr>
          <w:rStyle w:val="eop"/>
          <w:rFonts w:ascii="Times New Roman" w:hAnsi="Times New Roman" w:cs="Times New Roman"/>
          <w:sz w:val="24"/>
          <w:szCs w:val="24"/>
        </w:rPr>
        <w:t> </w:t>
      </w:r>
    </w:p>
    <w:p w14:paraId="004BCB0C" w14:textId="77777777" w:rsidR="00B86055" w:rsidRPr="00A545E2" w:rsidRDefault="00B86055" w:rsidP="00B86055">
      <w:pPr>
        <w:pStyle w:val="paragraph"/>
        <w:shd w:val="clear" w:color="auto" w:fill="FFFFFF"/>
        <w:ind w:left="360" w:hanging="360"/>
        <w:rPr>
          <w:rFonts w:ascii="Times New Roman" w:hAnsi="Times New Roman" w:cs="Times New Roman"/>
          <w:sz w:val="24"/>
          <w:szCs w:val="24"/>
        </w:rPr>
      </w:pPr>
      <w:r w:rsidRPr="00A545E2">
        <w:rPr>
          <w:rStyle w:val="normaltextrun"/>
          <w:rFonts w:ascii="Times New Roman" w:hAnsi="Times New Roman" w:cs="Times New Roman"/>
          <w:sz w:val="24"/>
          <w:szCs w:val="24"/>
        </w:rPr>
        <w:t>Ellenbecker C, Fawcett J, Jones E, Mahoney D, Rowlands B &amp; Waddell A (2017).</w:t>
      </w:r>
      <w:r w:rsidRPr="00A545E2">
        <w:rPr>
          <w:rStyle w:val="normaltextrun"/>
          <w:rFonts w:ascii="Times New Roman" w:hAnsi="Times New Roman" w:cs="Times New Roman"/>
          <w:color w:val="5B616B"/>
          <w:sz w:val="24"/>
          <w:szCs w:val="24"/>
        </w:rPr>
        <w:t> </w:t>
      </w:r>
      <w:r w:rsidRPr="00A545E2">
        <w:rPr>
          <w:rStyle w:val="normaltextrun"/>
          <w:rFonts w:ascii="Times New Roman" w:hAnsi="Times New Roman" w:cs="Times New Roman"/>
          <w:sz w:val="24"/>
          <w:szCs w:val="24"/>
        </w:rPr>
        <w:t>A staged approach to educating nurses in health policy </w:t>
      </w:r>
      <w:r w:rsidRPr="00A545E2">
        <w:rPr>
          <w:rStyle w:val="normaltextrun"/>
          <w:rFonts w:ascii="Times New Roman" w:hAnsi="Times New Roman" w:cs="Times New Roman"/>
          <w:color w:val="5B616B"/>
          <w:sz w:val="24"/>
          <w:szCs w:val="24"/>
        </w:rPr>
        <w:t>Policy</w:t>
      </w:r>
      <w:r w:rsidRPr="00A545E2">
        <w:rPr>
          <w:rStyle w:val="normaltextrun"/>
          <w:rFonts w:ascii="Times New Roman" w:hAnsi="Times New Roman" w:cs="Times New Roman"/>
          <w:sz w:val="24"/>
          <w:szCs w:val="24"/>
        </w:rPr>
        <w:t> Polit Nurs Pract Feb;18(1):44-56.: DOI: </w:t>
      </w:r>
      <w:hyperlink r:id="rId15" w:tgtFrame="_blank" w:history="1">
        <w:r w:rsidRPr="00A545E2">
          <w:rPr>
            <w:rStyle w:val="normaltextrun"/>
            <w:rFonts w:ascii="Times New Roman" w:hAnsi="Times New Roman" w:cs="Times New Roman"/>
            <w:color w:val="0000FF"/>
            <w:sz w:val="24"/>
            <w:szCs w:val="24"/>
          </w:rPr>
          <w:t>10.1177/1527154417709254</w:t>
        </w:r>
      </w:hyperlink>
      <w:r w:rsidRPr="00A545E2">
        <w:rPr>
          <w:rStyle w:val="eop"/>
          <w:rFonts w:ascii="Times New Roman" w:hAnsi="Times New Roman" w:cs="Times New Roman"/>
          <w:sz w:val="24"/>
          <w:szCs w:val="24"/>
        </w:rPr>
        <w:t> </w:t>
      </w:r>
    </w:p>
    <w:p w14:paraId="76B94640" w14:textId="77777777" w:rsidR="00B86055" w:rsidRPr="00A545E2" w:rsidRDefault="00B86055" w:rsidP="00B86055">
      <w:pPr>
        <w:pStyle w:val="paragraph"/>
        <w:shd w:val="clear" w:color="auto" w:fill="FFFFFF"/>
        <w:ind w:left="360" w:hanging="360"/>
        <w:rPr>
          <w:rFonts w:ascii="Times New Roman" w:hAnsi="Times New Roman" w:cs="Times New Roman"/>
          <w:sz w:val="24"/>
          <w:szCs w:val="24"/>
        </w:rPr>
      </w:pPr>
      <w:r w:rsidRPr="00A545E2">
        <w:rPr>
          <w:rStyle w:val="normaltextrun"/>
          <w:rFonts w:ascii="Times New Roman" w:hAnsi="Times New Roman" w:cs="Times New Roman"/>
          <w:color w:val="212121"/>
          <w:sz w:val="24"/>
          <w:szCs w:val="24"/>
        </w:rPr>
        <w:t>Anders R. L. (2021). Engaging nurses in health policy in the era of COVID-19. </w:t>
      </w:r>
      <w:r w:rsidRPr="00A545E2">
        <w:rPr>
          <w:rFonts w:ascii="Times New Roman" w:hAnsi="Times New Roman" w:cs="Times New Roman"/>
          <w:i/>
          <w:iCs/>
          <w:sz w:val="24"/>
          <w:szCs w:val="24"/>
        </w:rPr>
        <w:t>Nursing forum</w:t>
      </w:r>
      <w:r w:rsidRPr="00A545E2">
        <w:rPr>
          <w:rFonts w:ascii="Times New Roman" w:hAnsi="Times New Roman" w:cs="Times New Roman"/>
          <w:sz w:val="24"/>
          <w:szCs w:val="24"/>
        </w:rPr>
        <w:t>, </w:t>
      </w:r>
      <w:r w:rsidRPr="00A545E2">
        <w:rPr>
          <w:rFonts w:ascii="Times New Roman" w:hAnsi="Times New Roman" w:cs="Times New Roman"/>
          <w:i/>
          <w:iCs/>
          <w:sz w:val="24"/>
          <w:szCs w:val="24"/>
        </w:rPr>
        <w:t>56</w:t>
      </w:r>
      <w:r w:rsidRPr="00A545E2">
        <w:rPr>
          <w:rFonts w:ascii="Times New Roman" w:hAnsi="Times New Roman" w:cs="Times New Roman"/>
          <w:sz w:val="24"/>
          <w:szCs w:val="24"/>
        </w:rPr>
        <w:t>(1), 89–94. </w:t>
      </w:r>
      <w:hyperlink r:id="rId16" w:tgtFrame="_blank" w:history="1">
        <w:r w:rsidRPr="00A545E2">
          <w:rPr>
            <w:rStyle w:val="normaltextrun"/>
            <w:rFonts w:ascii="Times New Roman" w:hAnsi="Times New Roman" w:cs="Times New Roman"/>
            <w:color w:val="0000FF"/>
            <w:sz w:val="24"/>
            <w:szCs w:val="24"/>
          </w:rPr>
          <w:t>https://doi.org/10.1111/nuf.12514</w:t>
        </w:r>
      </w:hyperlink>
      <w:r w:rsidRPr="00A545E2">
        <w:rPr>
          <w:rStyle w:val="eop"/>
          <w:rFonts w:ascii="Times New Roman" w:hAnsi="Times New Roman" w:cs="Times New Roman"/>
          <w:sz w:val="24"/>
          <w:szCs w:val="24"/>
        </w:rPr>
        <w:t> </w:t>
      </w:r>
    </w:p>
    <w:p w14:paraId="3CC8FC9D" w14:textId="390B37DB" w:rsidR="00B86055" w:rsidRPr="00A545E2" w:rsidRDefault="00B86055" w:rsidP="00B86055">
      <w:pPr>
        <w:pStyle w:val="paragraph"/>
        <w:shd w:val="clear" w:color="auto" w:fill="FFFFFF"/>
        <w:ind w:left="360" w:hanging="360"/>
        <w:rPr>
          <w:rFonts w:ascii="Times New Roman" w:hAnsi="Times New Roman" w:cs="Times New Roman"/>
          <w:sz w:val="24"/>
          <w:szCs w:val="24"/>
        </w:rPr>
      </w:pPr>
      <w:r w:rsidRPr="00A545E2">
        <w:rPr>
          <w:rStyle w:val="normaltextrun"/>
          <w:rFonts w:ascii="Times New Roman" w:hAnsi="Times New Roman" w:cs="Times New Roman"/>
          <w:color w:val="212121"/>
          <w:sz w:val="24"/>
          <w:szCs w:val="24"/>
        </w:rPr>
        <w:t>Scott, J., Johnson, R., &amp; </w:t>
      </w:r>
      <w:r w:rsidRPr="00A545E2">
        <w:rPr>
          <w:rStyle w:val="normaltextrun"/>
          <w:rFonts w:ascii="Times New Roman" w:hAnsi="Times New Roman" w:cs="Times New Roman"/>
          <w:sz w:val="24"/>
          <w:szCs w:val="24"/>
        </w:rPr>
        <w:t>Ibemere, S. (2021). Addressing health inequities re-illuminated by the COVID-19 pandemic: How can nursing </w:t>
      </w:r>
      <w:r w:rsidR="001E6994" w:rsidRPr="00A545E2">
        <w:rPr>
          <w:rStyle w:val="normaltextrun"/>
          <w:rFonts w:ascii="Times New Roman" w:hAnsi="Times New Roman" w:cs="Times New Roman"/>
          <w:sz w:val="24"/>
          <w:szCs w:val="24"/>
        </w:rPr>
        <w:t>respond?</w:t>
      </w:r>
      <w:r w:rsidRPr="00A545E2">
        <w:rPr>
          <w:rStyle w:val="normaltextrun"/>
          <w:rFonts w:ascii="Times New Roman" w:hAnsi="Times New Roman" w:cs="Times New Roman"/>
          <w:sz w:val="24"/>
          <w:szCs w:val="24"/>
        </w:rPr>
        <w:t> </w:t>
      </w:r>
      <w:r w:rsidRPr="00A545E2">
        <w:rPr>
          <w:rFonts w:ascii="Times New Roman" w:hAnsi="Times New Roman" w:cs="Times New Roman"/>
          <w:i/>
          <w:iCs/>
          <w:sz w:val="24"/>
          <w:szCs w:val="24"/>
        </w:rPr>
        <w:t xml:space="preserve">Nursing </w:t>
      </w:r>
      <w:r w:rsidR="00D853B5">
        <w:rPr>
          <w:rFonts w:ascii="Times New Roman" w:hAnsi="Times New Roman" w:cs="Times New Roman"/>
          <w:i/>
          <w:iCs/>
          <w:sz w:val="24"/>
          <w:szCs w:val="24"/>
        </w:rPr>
        <w:t>F</w:t>
      </w:r>
      <w:r w:rsidR="00D853B5" w:rsidRPr="00A545E2">
        <w:rPr>
          <w:rFonts w:ascii="Times New Roman" w:hAnsi="Times New Roman" w:cs="Times New Roman"/>
          <w:i/>
          <w:iCs/>
          <w:sz w:val="24"/>
          <w:szCs w:val="24"/>
        </w:rPr>
        <w:t>orum</w:t>
      </w:r>
      <w:r w:rsidRPr="00A545E2">
        <w:rPr>
          <w:rFonts w:ascii="Times New Roman" w:hAnsi="Times New Roman" w:cs="Times New Roman"/>
          <w:sz w:val="24"/>
          <w:szCs w:val="24"/>
        </w:rPr>
        <w:t>, </w:t>
      </w:r>
      <w:r w:rsidRPr="00A545E2">
        <w:rPr>
          <w:rFonts w:ascii="Times New Roman" w:hAnsi="Times New Roman" w:cs="Times New Roman"/>
          <w:i/>
          <w:iCs/>
          <w:sz w:val="24"/>
          <w:szCs w:val="24"/>
        </w:rPr>
        <w:t>56</w:t>
      </w:r>
      <w:r w:rsidRPr="00A545E2">
        <w:rPr>
          <w:rFonts w:ascii="Times New Roman" w:hAnsi="Times New Roman" w:cs="Times New Roman"/>
          <w:sz w:val="24"/>
          <w:szCs w:val="24"/>
        </w:rPr>
        <w:t>(1), 217–221. </w:t>
      </w:r>
      <w:hyperlink r:id="rId17" w:tgtFrame="_blank" w:history="1">
        <w:r w:rsidRPr="00A545E2">
          <w:rPr>
            <w:rStyle w:val="normaltextrun"/>
            <w:rFonts w:ascii="Times New Roman" w:hAnsi="Times New Roman" w:cs="Times New Roman"/>
            <w:color w:val="0000FF"/>
            <w:sz w:val="24"/>
            <w:szCs w:val="24"/>
          </w:rPr>
          <w:t>https://doi.org/10.1111/nuf.12509</w:t>
        </w:r>
      </w:hyperlink>
      <w:r w:rsidRPr="00A545E2">
        <w:rPr>
          <w:rStyle w:val="eop"/>
          <w:rFonts w:ascii="Times New Roman" w:hAnsi="Times New Roman" w:cs="Times New Roman"/>
          <w:sz w:val="24"/>
          <w:szCs w:val="24"/>
        </w:rPr>
        <w:t> </w:t>
      </w:r>
    </w:p>
    <w:p w14:paraId="058FE28A" w14:textId="17CC2915" w:rsidR="00B86055" w:rsidRPr="00A545E2" w:rsidRDefault="00B86055" w:rsidP="00B86055">
      <w:pPr>
        <w:pStyle w:val="paragraph"/>
        <w:shd w:val="clear" w:color="auto" w:fill="FFFFFF"/>
        <w:ind w:left="360" w:hanging="360"/>
        <w:rPr>
          <w:rFonts w:ascii="Times New Roman" w:hAnsi="Times New Roman" w:cs="Times New Roman"/>
          <w:sz w:val="24"/>
          <w:szCs w:val="24"/>
        </w:rPr>
      </w:pPr>
      <w:r w:rsidRPr="00A545E2">
        <w:rPr>
          <w:rStyle w:val="normaltextrun"/>
          <w:rFonts w:ascii="Times New Roman" w:hAnsi="Times New Roman" w:cs="Times New Roman"/>
          <w:color w:val="212121"/>
          <w:sz w:val="24"/>
          <w:szCs w:val="24"/>
        </w:rPr>
        <w:t>Heiman, H. J., Smith, L. L., Respress, E., &amp; Bayer, C. R. (2019). Health Policy Training for Health Equity Leaders. </w:t>
      </w:r>
      <w:r w:rsidRPr="00A545E2">
        <w:rPr>
          <w:rFonts w:ascii="Times New Roman" w:hAnsi="Times New Roman" w:cs="Times New Roman"/>
          <w:i/>
          <w:iCs/>
          <w:sz w:val="24"/>
          <w:szCs w:val="24"/>
        </w:rPr>
        <w:t xml:space="preserve">Ethnicity &amp; </w:t>
      </w:r>
      <w:r w:rsidR="00D853B5">
        <w:rPr>
          <w:rFonts w:ascii="Times New Roman" w:hAnsi="Times New Roman" w:cs="Times New Roman"/>
          <w:i/>
          <w:iCs/>
          <w:sz w:val="24"/>
          <w:szCs w:val="24"/>
        </w:rPr>
        <w:t>D</w:t>
      </w:r>
      <w:r w:rsidR="00D853B5" w:rsidRPr="00A545E2">
        <w:rPr>
          <w:rFonts w:ascii="Times New Roman" w:hAnsi="Times New Roman" w:cs="Times New Roman"/>
          <w:i/>
          <w:iCs/>
          <w:sz w:val="24"/>
          <w:szCs w:val="24"/>
        </w:rPr>
        <w:t>isease</w:t>
      </w:r>
      <w:r w:rsidRPr="00A545E2">
        <w:rPr>
          <w:rFonts w:ascii="Times New Roman" w:hAnsi="Times New Roman" w:cs="Times New Roman"/>
          <w:sz w:val="24"/>
          <w:szCs w:val="24"/>
        </w:rPr>
        <w:t>, </w:t>
      </w:r>
      <w:r w:rsidRPr="00A545E2">
        <w:rPr>
          <w:rFonts w:ascii="Times New Roman" w:hAnsi="Times New Roman" w:cs="Times New Roman"/>
          <w:i/>
          <w:iCs/>
          <w:sz w:val="24"/>
          <w:szCs w:val="24"/>
        </w:rPr>
        <w:t>29</w:t>
      </w:r>
      <w:r w:rsidRPr="00A545E2">
        <w:rPr>
          <w:rFonts w:ascii="Times New Roman" w:hAnsi="Times New Roman" w:cs="Times New Roman"/>
          <w:sz w:val="24"/>
          <w:szCs w:val="24"/>
        </w:rPr>
        <w:t>(Suppl 2), 405–412. </w:t>
      </w:r>
      <w:hyperlink r:id="rId18" w:tgtFrame="_blank" w:history="1">
        <w:r w:rsidRPr="00A545E2">
          <w:rPr>
            <w:rStyle w:val="normaltextrun"/>
            <w:rFonts w:ascii="Times New Roman" w:hAnsi="Times New Roman" w:cs="Times New Roman"/>
            <w:color w:val="0000FF"/>
            <w:sz w:val="24"/>
            <w:szCs w:val="24"/>
          </w:rPr>
          <w:t>https://doi.org/10.18865/ed.29.S2.405</w:t>
        </w:r>
      </w:hyperlink>
      <w:r w:rsidRPr="00A545E2">
        <w:rPr>
          <w:rStyle w:val="normaltextrun"/>
          <w:rFonts w:ascii="Times New Roman" w:hAnsi="Times New Roman" w:cs="Times New Roman"/>
          <w:color w:val="212121"/>
          <w:sz w:val="24"/>
          <w:szCs w:val="24"/>
        </w:rPr>
        <w:t> </w:t>
      </w:r>
      <w:r w:rsidRPr="00A545E2">
        <w:rPr>
          <w:rStyle w:val="eop"/>
          <w:rFonts w:ascii="Times New Roman" w:hAnsi="Times New Roman" w:cs="Times New Roman"/>
          <w:color w:val="212121"/>
          <w:sz w:val="24"/>
          <w:szCs w:val="24"/>
        </w:rPr>
        <w:t> </w:t>
      </w:r>
    </w:p>
    <w:p w14:paraId="7BF270E4" w14:textId="77777777" w:rsidR="00B86055" w:rsidRPr="002F4662" w:rsidRDefault="00B86055" w:rsidP="00B86055">
      <w:pPr>
        <w:pStyle w:val="paragraph"/>
        <w:shd w:val="clear" w:color="auto" w:fill="FFFFFF"/>
        <w:rPr>
          <w:rFonts w:asciiTheme="minorHAnsi" w:hAnsiTheme="minorHAnsi" w:cstheme="minorHAnsi"/>
          <w:sz w:val="18"/>
          <w:szCs w:val="18"/>
        </w:rPr>
      </w:pPr>
      <w:r w:rsidRPr="002F4662">
        <w:rPr>
          <w:rStyle w:val="normaltextrun"/>
          <w:rFonts w:asciiTheme="minorHAnsi" w:hAnsiTheme="minorHAnsi" w:cstheme="minorHAnsi"/>
          <w:b/>
          <w:bCs/>
          <w:sz w:val="24"/>
          <w:szCs w:val="24"/>
        </w:rPr>
        <w:t> </w:t>
      </w:r>
      <w:r w:rsidRPr="002F4662">
        <w:rPr>
          <w:rStyle w:val="eop"/>
          <w:rFonts w:asciiTheme="minorHAnsi" w:hAnsiTheme="minorHAnsi" w:cstheme="minorHAnsi"/>
          <w:sz w:val="24"/>
          <w:szCs w:val="24"/>
        </w:rPr>
        <w:t> </w:t>
      </w:r>
    </w:p>
    <w:p w14:paraId="1EE1D3D7" w14:textId="77777777" w:rsidR="00B86055" w:rsidRPr="002F4662" w:rsidRDefault="00B86055" w:rsidP="00547488">
      <w:pPr>
        <w:pStyle w:val="Heading2"/>
        <w:rPr>
          <w:rFonts w:asciiTheme="minorHAnsi" w:hAnsiTheme="minorHAnsi" w:cstheme="minorHAnsi"/>
          <w:sz w:val="18"/>
          <w:szCs w:val="18"/>
        </w:rPr>
      </w:pPr>
      <w:r w:rsidRPr="002F4662">
        <w:rPr>
          <w:rStyle w:val="normaltextrun"/>
          <w:rFonts w:asciiTheme="minorHAnsi" w:hAnsiTheme="minorHAnsi" w:cstheme="minorHAnsi"/>
          <w:sz w:val="24"/>
          <w:szCs w:val="24"/>
        </w:rPr>
        <w:t>Policy-related </w:t>
      </w:r>
      <w:r w:rsidRPr="002F4662">
        <w:rPr>
          <w:rStyle w:val="normaltextrun"/>
          <w:rFonts w:asciiTheme="minorHAnsi" w:hAnsiTheme="minorHAnsi" w:cstheme="minorHAnsi"/>
        </w:rPr>
        <w:t>organizations</w:t>
      </w:r>
      <w:r w:rsidRPr="002F4662">
        <w:rPr>
          <w:rStyle w:val="eop"/>
          <w:rFonts w:asciiTheme="minorHAnsi" w:hAnsiTheme="minorHAnsi" w:cstheme="minorHAnsi"/>
          <w:sz w:val="24"/>
          <w:szCs w:val="24"/>
        </w:rPr>
        <w:t> </w:t>
      </w:r>
    </w:p>
    <w:p w14:paraId="5888A011" w14:textId="77777777" w:rsidR="00B86055" w:rsidRPr="002F4662" w:rsidRDefault="00000000" w:rsidP="00B86055">
      <w:pPr>
        <w:pStyle w:val="paragraph"/>
        <w:shd w:val="clear" w:color="auto" w:fill="FFFFFF"/>
        <w:ind w:left="705" w:hanging="705"/>
        <w:rPr>
          <w:rFonts w:asciiTheme="minorHAnsi" w:hAnsiTheme="minorHAnsi" w:cstheme="minorHAnsi"/>
          <w:sz w:val="18"/>
          <w:szCs w:val="18"/>
        </w:rPr>
      </w:pPr>
      <w:hyperlink r:id="rId19" w:tgtFrame="_blank" w:history="1">
        <w:r w:rsidR="00B86055" w:rsidRPr="002F4662">
          <w:rPr>
            <w:rStyle w:val="normaltextrun"/>
            <w:rFonts w:asciiTheme="minorHAnsi" w:hAnsiTheme="minorHAnsi" w:cstheme="minorHAnsi"/>
            <w:color w:val="0000FF"/>
            <w:sz w:val="24"/>
            <w:szCs w:val="24"/>
          </w:rPr>
          <w:t>Kaiser Family Foundation</w:t>
        </w:r>
      </w:hyperlink>
      <w:r w:rsidR="00B86055" w:rsidRPr="002F4662">
        <w:rPr>
          <w:rStyle w:val="eop"/>
          <w:rFonts w:asciiTheme="minorHAnsi" w:hAnsiTheme="minorHAnsi" w:cstheme="minorHAnsi"/>
          <w:color w:val="000000"/>
          <w:sz w:val="24"/>
          <w:szCs w:val="24"/>
        </w:rPr>
        <w:t> </w:t>
      </w:r>
    </w:p>
    <w:p w14:paraId="0C719887" w14:textId="77777777" w:rsidR="00B86055" w:rsidRPr="002F4662" w:rsidRDefault="00000000" w:rsidP="00B86055">
      <w:pPr>
        <w:pStyle w:val="paragraph"/>
        <w:shd w:val="clear" w:color="auto" w:fill="FFFFFF"/>
        <w:ind w:left="705" w:hanging="705"/>
        <w:rPr>
          <w:rFonts w:asciiTheme="minorHAnsi" w:hAnsiTheme="minorHAnsi" w:cstheme="minorHAnsi"/>
          <w:sz w:val="18"/>
          <w:szCs w:val="18"/>
        </w:rPr>
      </w:pPr>
      <w:hyperlink r:id="rId20" w:tgtFrame="_blank" w:history="1">
        <w:r w:rsidR="00B86055" w:rsidRPr="002F4662">
          <w:rPr>
            <w:rStyle w:val="normaltextrun"/>
            <w:rFonts w:asciiTheme="minorHAnsi" w:hAnsiTheme="minorHAnsi" w:cstheme="minorHAnsi"/>
            <w:color w:val="0000FF"/>
            <w:sz w:val="24"/>
            <w:szCs w:val="24"/>
          </w:rPr>
          <w:t>Health Systems: Transforming Healthcare in the U.S. - RWJF</w:t>
        </w:r>
      </w:hyperlink>
      <w:r w:rsidR="00B86055" w:rsidRPr="002F4662">
        <w:rPr>
          <w:rStyle w:val="normaltextrun"/>
          <w:rFonts w:asciiTheme="minorHAnsi" w:hAnsiTheme="minorHAnsi" w:cstheme="minorHAnsi"/>
          <w:sz w:val="24"/>
          <w:szCs w:val="24"/>
        </w:rPr>
        <w:t>     </w:t>
      </w:r>
      <w:hyperlink r:id="rId21" w:tgtFrame="_blank" w:history="1">
        <w:r w:rsidR="00B86055" w:rsidRPr="002F4662">
          <w:rPr>
            <w:rStyle w:val="normaltextrun"/>
            <w:rFonts w:asciiTheme="minorHAnsi" w:hAnsiTheme="minorHAnsi" w:cstheme="minorHAnsi"/>
            <w:color w:val="0000FF"/>
            <w:sz w:val="24"/>
            <w:szCs w:val="24"/>
          </w:rPr>
          <w:t>https://www.rwjf.org/en/our-focus-areas/focus-areas/health-systems.html</w:t>
        </w:r>
      </w:hyperlink>
      <w:r w:rsidR="00B86055" w:rsidRPr="002F4662">
        <w:rPr>
          <w:rFonts w:asciiTheme="minorHAnsi" w:hAnsiTheme="minorHAnsi" w:cstheme="minorHAnsi"/>
          <w:sz w:val="18"/>
          <w:szCs w:val="18"/>
        </w:rPr>
        <w:t> </w:t>
      </w:r>
    </w:p>
    <w:p w14:paraId="7CF5192E" w14:textId="77777777" w:rsidR="00B86055" w:rsidRPr="002F4662" w:rsidRDefault="00000000" w:rsidP="00B86055">
      <w:pPr>
        <w:pStyle w:val="paragraph"/>
        <w:shd w:val="clear" w:color="auto" w:fill="FFFFFF"/>
        <w:ind w:left="705" w:hanging="705"/>
        <w:rPr>
          <w:rFonts w:asciiTheme="minorHAnsi" w:hAnsiTheme="minorHAnsi" w:cstheme="minorHAnsi"/>
          <w:sz w:val="18"/>
          <w:szCs w:val="18"/>
        </w:rPr>
      </w:pPr>
      <w:hyperlink r:id="rId22" w:tgtFrame="_blank" w:history="1">
        <w:r w:rsidR="00B86055" w:rsidRPr="002F4662">
          <w:rPr>
            <w:rStyle w:val="normaltextrun"/>
            <w:rFonts w:asciiTheme="minorHAnsi" w:hAnsiTheme="minorHAnsi" w:cstheme="minorHAnsi"/>
            <w:color w:val="0000FF"/>
            <w:sz w:val="24"/>
            <w:szCs w:val="24"/>
          </w:rPr>
          <w:t>Commonwealth Fund</w:t>
        </w:r>
      </w:hyperlink>
      <w:r w:rsidR="00B86055" w:rsidRPr="002F4662">
        <w:rPr>
          <w:rStyle w:val="normaltextrun"/>
          <w:rFonts w:asciiTheme="minorHAnsi" w:hAnsiTheme="minorHAnsi" w:cstheme="minorHAnsi"/>
          <w:sz w:val="24"/>
          <w:szCs w:val="24"/>
        </w:rPr>
        <w:t>   </w:t>
      </w:r>
      <w:hyperlink r:id="rId23" w:tgtFrame="_blank" w:history="1">
        <w:r w:rsidR="00B86055" w:rsidRPr="002F4662">
          <w:rPr>
            <w:rStyle w:val="normaltextrun"/>
            <w:rFonts w:asciiTheme="minorHAnsi" w:hAnsiTheme="minorHAnsi" w:cstheme="minorHAnsi"/>
            <w:color w:val="0000FF"/>
            <w:sz w:val="24"/>
            <w:szCs w:val="24"/>
          </w:rPr>
          <w:t>https://www.commonwealthfund.org/</w:t>
        </w:r>
      </w:hyperlink>
      <w:r w:rsidR="00B86055" w:rsidRPr="002F4662">
        <w:rPr>
          <w:rStyle w:val="eop"/>
          <w:rFonts w:asciiTheme="minorHAnsi" w:hAnsiTheme="minorHAnsi" w:cstheme="minorHAnsi"/>
        </w:rPr>
        <w:t> </w:t>
      </w:r>
    </w:p>
    <w:p w14:paraId="61D3E502" w14:textId="77777777" w:rsidR="00B86055" w:rsidRPr="002F4662" w:rsidRDefault="00000000" w:rsidP="00B86055">
      <w:pPr>
        <w:pStyle w:val="paragraph"/>
        <w:shd w:val="clear" w:color="auto" w:fill="FFFFFF"/>
        <w:ind w:left="705" w:hanging="705"/>
        <w:rPr>
          <w:rFonts w:asciiTheme="minorHAnsi" w:hAnsiTheme="minorHAnsi" w:cstheme="minorHAnsi"/>
          <w:sz w:val="18"/>
          <w:szCs w:val="18"/>
        </w:rPr>
      </w:pPr>
      <w:hyperlink r:id="rId24" w:tgtFrame="_blank" w:history="1">
        <w:r w:rsidR="00B86055" w:rsidRPr="002F4662">
          <w:rPr>
            <w:rStyle w:val="normaltextrun"/>
            <w:rFonts w:asciiTheme="minorHAnsi" w:hAnsiTheme="minorHAnsi" w:cstheme="minorHAnsi"/>
            <w:color w:val="0000FF"/>
            <w:sz w:val="24"/>
            <w:szCs w:val="24"/>
          </w:rPr>
          <w:t>Advocacy (nursingworld.org)</w:t>
        </w:r>
      </w:hyperlink>
      <w:r w:rsidR="00B86055" w:rsidRPr="002F4662">
        <w:rPr>
          <w:rStyle w:val="normaltextrun"/>
          <w:rFonts w:asciiTheme="minorHAnsi" w:hAnsiTheme="minorHAnsi" w:cstheme="minorHAnsi"/>
          <w:sz w:val="24"/>
          <w:szCs w:val="24"/>
        </w:rPr>
        <w:t> American Nurses Association policy issues</w:t>
      </w:r>
      <w:r w:rsidR="00B86055" w:rsidRPr="002F4662">
        <w:rPr>
          <w:rStyle w:val="eop"/>
          <w:rFonts w:asciiTheme="minorHAnsi" w:hAnsiTheme="minorHAnsi" w:cstheme="minorHAnsi"/>
          <w:sz w:val="24"/>
          <w:szCs w:val="24"/>
        </w:rPr>
        <w:t> </w:t>
      </w:r>
    </w:p>
    <w:p w14:paraId="19055BC4" w14:textId="77777777" w:rsidR="00B86055" w:rsidRPr="002F4662" w:rsidRDefault="00000000" w:rsidP="00B86055">
      <w:pPr>
        <w:pStyle w:val="paragraph"/>
        <w:shd w:val="clear" w:color="auto" w:fill="FFFFFF"/>
        <w:ind w:left="705" w:hanging="705"/>
        <w:rPr>
          <w:rFonts w:asciiTheme="minorHAnsi" w:hAnsiTheme="minorHAnsi" w:cstheme="minorHAnsi"/>
          <w:sz w:val="18"/>
          <w:szCs w:val="18"/>
        </w:rPr>
      </w:pPr>
      <w:hyperlink r:id="rId25" w:tgtFrame="_blank" w:history="1">
        <w:r w:rsidR="00B86055" w:rsidRPr="002F4662">
          <w:rPr>
            <w:rStyle w:val="normaltextrun"/>
            <w:rFonts w:asciiTheme="minorHAnsi" w:hAnsiTheme="minorHAnsi" w:cstheme="minorHAnsi"/>
            <w:color w:val="0000FF"/>
            <w:sz w:val="24"/>
            <w:szCs w:val="24"/>
          </w:rPr>
          <w:t>The National Academy for State Health Policy (nashp.org)</w:t>
        </w:r>
      </w:hyperlink>
      <w:r w:rsidR="00B86055" w:rsidRPr="002F4662">
        <w:rPr>
          <w:rStyle w:val="eop"/>
          <w:rFonts w:asciiTheme="minorHAnsi" w:hAnsiTheme="minorHAnsi" w:cstheme="minorHAnsi"/>
        </w:rPr>
        <w:t> </w:t>
      </w:r>
    </w:p>
    <w:p w14:paraId="7D9E201A" w14:textId="77777777" w:rsidR="00B86055" w:rsidRPr="002F4662" w:rsidRDefault="00000000" w:rsidP="00B86055">
      <w:pPr>
        <w:pStyle w:val="paragraph"/>
        <w:shd w:val="clear" w:color="auto" w:fill="FFFFFF"/>
        <w:ind w:left="705" w:hanging="705"/>
        <w:rPr>
          <w:rFonts w:asciiTheme="minorHAnsi" w:hAnsiTheme="minorHAnsi" w:cstheme="minorHAnsi"/>
          <w:sz w:val="18"/>
          <w:szCs w:val="18"/>
        </w:rPr>
      </w:pPr>
      <w:hyperlink r:id="rId26" w:tgtFrame="_blank" w:history="1">
        <w:r w:rsidR="00B86055" w:rsidRPr="002F4662">
          <w:rPr>
            <w:rStyle w:val="normaltextrun"/>
            <w:rFonts w:asciiTheme="minorHAnsi" w:hAnsiTheme="minorHAnsi" w:cstheme="minorHAnsi"/>
            <w:color w:val="0000FF"/>
            <w:sz w:val="24"/>
            <w:szCs w:val="24"/>
          </w:rPr>
          <w:t>UCLA Center for Health Policy Research</w:t>
        </w:r>
      </w:hyperlink>
      <w:r w:rsidR="00B86055" w:rsidRPr="002F4662">
        <w:rPr>
          <w:rStyle w:val="eop"/>
          <w:rFonts w:asciiTheme="minorHAnsi" w:hAnsiTheme="minorHAnsi" w:cstheme="minorHAnsi"/>
        </w:rPr>
        <w:t> </w:t>
      </w:r>
    </w:p>
    <w:p w14:paraId="36428499" w14:textId="77777777" w:rsidR="00B86055" w:rsidRPr="002F4662" w:rsidRDefault="00000000" w:rsidP="00B86055">
      <w:pPr>
        <w:pStyle w:val="paragraph"/>
        <w:shd w:val="clear" w:color="auto" w:fill="FFFFFF"/>
        <w:ind w:left="705" w:hanging="705"/>
        <w:rPr>
          <w:rFonts w:asciiTheme="minorHAnsi" w:hAnsiTheme="minorHAnsi" w:cstheme="minorHAnsi"/>
          <w:sz w:val="18"/>
          <w:szCs w:val="18"/>
        </w:rPr>
      </w:pPr>
      <w:hyperlink r:id="rId27" w:tgtFrame="_blank" w:history="1">
        <w:r w:rsidR="00B86055" w:rsidRPr="002F4662">
          <w:rPr>
            <w:rStyle w:val="normaltextrun"/>
            <w:rFonts w:asciiTheme="minorHAnsi" w:hAnsiTheme="minorHAnsi" w:cstheme="minorHAnsi"/>
            <w:color w:val="0000FF"/>
            <w:sz w:val="24"/>
            <w:szCs w:val="24"/>
          </w:rPr>
          <w:t>Health Policy Analysis and Evidence | AD for Policy and Strategy | CDC</w:t>
        </w:r>
      </w:hyperlink>
      <w:r w:rsidR="00B86055" w:rsidRPr="002F4662">
        <w:rPr>
          <w:rStyle w:val="normaltextrun"/>
          <w:rFonts w:asciiTheme="minorHAnsi" w:hAnsiTheme="minorHAnsi" w:cstheme="minorHAnsi"/>
          <w:sz w:val="24"/>
          <w:szCs w:val="24"/>
        </w:rPr>
        <w:t>  </w:t>
      </w:r>
      <w:hyperlink r:id="rId28" w:tgtFrame="_blank" w:history="1">
        <w:r w:rsidR="00B86055" w:rsidRPr="002F4662">
          <w:rPr>
            <w:rStyle w:val="normaltextrun"/>
            <w:rFonts w:asciiTheme="minorHAnsi" w:hAnsiTheme="minorHAnsi" w:cstheme="minorHAnsi"/>
            <w:color w:val="0000FF"/>
            <w:sz w:val="24"/>
            <w:szCs w:val="24"/>
          </w:rPr>
          <w:t>https://www.cdc.gov/policy/analysis/index.html</w:t>
        </w:r>
      </w:hyperlink>
      <w:r w:rsidR="00B86055" w:rsidRPr="002F4662">
        <w:rPr>
          <w:rStyle w:val="normaltextrun"/>
          <w:rFonts w:asciiTheme="minorHAnsi" w:hAnsiTheme="minorHAnsi" w:cstheme="minorHAnsi"/>
          <w:sz w:val="24"/>
          <w:szCs w:val="24"/>
        </w:rPr>
        <w:t>   </w:t>
      </w:r>
      <w:r w:rsidR="00B86055" w:rsidRPr="002F4662">
        <w:rPr>
          <w:rStyle w:val="eop"/>
          <w:rFonts w:asciiTheme="minorHAnsi" w:hAnsiTheme="minorHAnsi" w:cstheme="minorHAnsi"/>
          <w:sz w:val="24"/>
          <w:szCs w:val="24"/>
        </w:rPr>
        <w:t> </w:t>
      </w:r>
    </w:p>
    <w:p w14:paraId="30E5C4DD" w14:textId="77777777" w:rsidR="00B86055" w:rsidRPr="002F4662" w:rsidRDefault="00B86055" w:rsidP="00B86055">
      <w:pPr>
        <w:pStyle w:val="paragraph"/>
        <w:shd w:val="clear" w:color="auto" w:fill="FFFFFF"/>
        <w:rPr>
          <w:rFonts w:asciiTheme="minorHAnsi" w:hAnsiTheme="minorHAnsi" w:cstheme="minorHAnsi"/>
          <w:sz w:val="18"/>
          <w:szCs w:val="18"/>
        </w:rPr>
      </w:pPr>
      <w:r w:rsidRPr="002F4662">
        <w:rPr>
          <w:rFonts w:asciiTheme="minorHAnsi" w:hAnsiTheme="minorHAnsi" w:cstheme="minorHAnsi"/>
        </w:rPr>
        <w:t> </w:t>
      </w:r>
    </w:p>
    <w:p w14:paraId="79BE1F9C" w14:textId="77777777" w:rsidR="00B86055" w:rsidRPr="002F4662" w:rsidRDefault="00B86055" w:rsidP="00547488">
      <w:pPr>
        <w:pStyle w:val="Heading2"/>
        <w:rPr>
          <w:rFonts w:asciiTheme="minorHAnsi" w:hAnsiTheme="minorHAnsi" w:cstheme="minorHAnsi"/>
          <w:sz w:val="18"/>
          <w:szCs w:val="18"/>
        </w:rPr>
      </w:pPr>
      <w:r w:rsidRPr="002F4662">
        <w:rPr>
          <w:rStyle w:val="normaltextrun"/>
          <w:rFonts w:asciiTheme="minorHAnsi" w:hAnsiTheme="minorHAnsi" w:cstheme="minorHAnsi"/>
          <w:sz w:val="24"/>
          <w:szCs w:val="24"/>
        </w:rPr>
        <w:t>Policy case studies</w:t>
      </w:r>
      <w:r w:rsidRPr="002F4662">
        <w:rPr>
          <w:rStyle w:val="eop"/>
          <w:rFonts w:asciiTheme="minorHAnsi" w:hAnsiTheme="minorHAnsi" w:cstheme="minorHAnsi"/>
          <w:sz w:val="24"/>
          <w:szCs w:val="24"/>
        </w:rPr>
        <w:t> </w:t>
      </w:r>
    </w:p>
    <w:p w14:paraId="0DCF8EE6" w14:textId="77777777" w:rsidR="00B86055" w:rsidRPr="002F4662" w:rsidRDefault="00000000" w:rsidP="00B86055">
      <w:pPr>
        <w:pStyle w:val="paragraph"/>
        <w:shd w:val="clear" w:color="auto" w:fill="FFFFFF"/>
        <w:rPr>
          <w:rFonts w:asciiTheme="minorHAnsi" w:hAnsiTheme="minorHAnsi" w:cstheme="minorHAnsi"/>
          <w:sz w:val="18"/>
          <w:szCs w:val="18"/>
        </w:rPr>
      </w:pPr>
      <w:hyperlink r:id="rId29" w:tgtFrame="_blank" w:history="1">
        <w:r w:rsidR="00B86055" w:rsidRPr="002F4662">
          <w:rPr>
            <w:rStyle w:val="normaltextrun"/>
            <w:rFonts w:asciiTheme="minorHAnsi" w:hAnsiTheme="minorHAnsi" w:cstheme="minorHAnsi"/>
            <w:color w:val="0000FF"/>
            <w:sz w:val="24"/>
            <w:szCs w:val="24"/>
          </w:rPr>
          <w:t>Healthy People eLearning Lessons | Healthy People 2020</w:t>
        </w:r>
      </w:hyperlink>
      <w:r w:rsidR="00B86055" w:rsidRPr="002F4662">
        <w:rPr>
          <w:rStyle w:val="normaltextrun"/>
          <w:rFonts w:asciiTheme="minorHAnsi" w:hAnsiTheme="minorHAnsi" w:cstheme="minorHAnsi"/>
          <w:sz w:val="24"/>
          <w:szCs w:val="24"/>
        </w:rPr>
        <w:t> </w:t>
      </w:r>
      <w:r w:rsidR="00B86055" w:rsidRPr="002F4662">
        <w:rPr>
          <w:rStyle w:val="eop"/>
          <w:rFonts w:asciiTheme="minorHAnsi" w:hAnsiTheme="minorHAnsi" w:cstheme="minorHAnsi"/>
          <w:sz w:val="24"/>
          <w:szCs w:val="24"/>
        </w:rPr>
        <w:t> </w:t>
      </w:r>
    </w:p>
    <w:p w14:paraId="6EA9BE55" w14:textId="77777777" w:rsidR="00B86055" w:rsidRPr="002F4662" w:rsidRDefault="00000000" w:rsidP="00B86055">
      <w:pPr>
        <w:pStyle w:val="paragraph"/>
        <w:shd w:val="clear" w:color="auto" w:fill="FFFFFF"/>
        <w:rPr>
          <w:rFonts w:asciiTheme="minorHAnsi" w:hAnsiTheme="minorHAnsi" w:cstheme="minorHAnsi"/>
          <w:sz w:val="18"/>
          <w:szCs w:val="18"/>
        </w:rPr>
      </w:pPr>
      <w:hyperlink r:id="rId30" w:tgtFrame="_blank" w:history="1">
        <w:r w:rsidR="00B86055" w:rsidRPr="002F4662">
          <w:rPr>
            <w:rStyle w:val="normaltextrun"/>
            <w:rFonts w:asciiTheme="minorHAnsi" w:hAnsiTheme="minorHAnsi" w:cstheme="minorHAnsi"/>
            <w:color w:val="0000FF"/>
            <w:sz w:val="24"/>
            <w:szCs w:val="24"/>
          </w:rPr>
          <w:t>Laws, Policies, and Legal Review Tools | NCHHSTP | CDC</w:t>
        </w:r>
      </w:hyperlink>
      <w:r w:rsidR="00B86055" w:rsidRPr="002F4662">
        <w:rPr>
          <w:rStyle w:val="eop"/>
          <w:rFonts w:asciiTheme="minorHAnsi" w:hAnsiTheme="minorHAnsi" w:cstheme="minorHAnsi"/>
        </w:rPr>
        <w:t> </w:t>
      </w:r>
    </w:p>
    <w:p w14:paraId="00F7A63D" w14:textId="77777777" w:rsidR="00B86055" w:rsidRPr="002F4662" w:rsidRDefault="00B86055" w:rsidP="00B86055">
      <w:pPr>
        <w:pStyle w:val="paragraph"/>
        <w:shd w:val="clear" w:color="auto" w:fill="FFFFFF"/>
        <w:rPr>
          <w:rFonts w:asciiTheme="minorHAnsi" w:hAnsiTheme="minorHAnsi" w:cstheme="minorHAnsi"/>
          <w:sz w:val="18"/>
          <w:szCs w:val="18"/>
        </w:rPr>
      </w:pPr>
      <w:r w:rsidRPr="002F4662">
        <w:rPr>
          <w:rStyle w:val="normaltextrun"/>
          <w:rFonts w:asciiTheme="minorHAnsi" w:hAnsiTheme="minorHAnsi" w:cstheme="minorHAnsi"/>
          <w:b/>
          <w:bCs/>
          <w:sz w:val="24"/>
          <w:szCs w:val="24"/>
        </w:rPr>
        <w:t> </w:t>
      </w:r>
      <w:r w:rsidRPr="002F4662">
        <w:rPr>
          <w:rStyle w:val="eop"/>
          <w:rFonts w:asciiTheme="minorHAnsi" w:hAnsiTheme="minorHAnsi" w:cstheme="minorHAnsi"/>
          <w:sz w:val="24"/>
          <w:szCs w:val="24"/>
        </w:rPr>
        <w:t> </w:t>
      </w:r>
    </w:p>
    <w:p w14:paraId="37B1203E" w14:textId="77777777" w:rsidR="00B86055" w:rsidRPr="002F4662" w:rsidRDefault="00B86055" w:rsidP="00547488">
      <w:pPr>
        <w:pStyle w:val="Heading2"/>
        <w:rPr>
          <w:rFonts w:asciiTheme="minorHAnsi" w:hAnsiTheme="minorHAnsi" w:cstheme="minorHAnsi"/>
          <w:sz w:val="18"/>
          <w:szCs w:val="18"/>
        </w:rPr>
      </w:pPr>
      <w:r w:rsidRPr="002F4662">
        <w:rPr>
          <w:rStyle w:val="normaltextrun"/>
          <w:rFonts w:asciiTheme="minorHAnsi" w:hAnsiTheme="minorHAnsi" w:cstheme="minorHAnsi"/>
          <w:sz w:val="24"/>
          <w:szCs w:val="24"/>
        </w:rPr>
        <w:lastRenderedPageBreak/>
        <w:t>Legislative process</w:t>
      </w:r>
      <w:r w:rsidRPr="002F4662">
        <w:rPr>
          <w:rStyle w:val="eop"/>
          <w:rFonts w:asciiTheme="minorHAnsi" w:hAnsiTheme="minorHAnsi" w:cstheme="minorHAnsi"/>
          <w:sz w:val="24"/>
          <w:szCs w:val="24"/>
        </w:rPr>
        <w:t> </w:t>
      </w:r>
    </w:p>
    <w:p w14:paraId="212EB934" w14:textId="77777777" w:rsidR="00B86055" w:rsidRPr="002F4662" w:rsidRDefault="00000000" w:rsidP="00B86055">
      <w:pPr>
        <w:pStyle w:val="paragraph"/>
        <w:shd w:val="clear" w:color="auto" w:fill="FFFFFF"/>
        <w:rPr>
          <w:rFonts w:asciiTheme="minorHAnsi" w:hAnsiTheme="minorHAnsi" w:cstheme="minorHAnsi"/>
          <w:sz w:val="18"/>
          <w:szCs w:val="18"/>
        </w:rPr>
      </w:pPr>
      <w:hyperlink r:id="rId31" w:tgtFrame="_blank" w:history="1">
        <w:r w:rsidR="00B86055" w:rsidRPr="002F4662">
          <w:rPr>
            <w:rStyle w:val="normaltextrun"/>
            <w:rFonts w:asciiTheme="minorHAnsi" w:hAnsiTheme="minorHAnsi" w:cstheme="minorHAnsi"/>
            <w:color w:val="0000FF"/>
            <w:sz w:val="24"/>
            <w:szCs w:val="24"/>
          </w:rPr>
          <w:t>Flow Chart - How a Bill Becomes a Law in the USA (happyschools.com)</w:t>
        </w:r>
      </w:hyperlink>
      <w:r w:rsidR="00B86055" w:rsidRPr="002F4662">
        <w:rPr>
          <w:rStyle w:val="eop"/>
          <w:rFonts w:asciiTheme="minorHAnsi" w:hAnsiTheme="minorHAnsi" w:cstheme="minorHAnsi"/>
        </w:rPr>
        <w:t> </w:t>
      </w:r>
    </w:p>
    <w:p w14:paraId="1883B431" w14:textId="77777777" w:rsidR="00B86055" w:rsidRPr="002F4662" w:rsidRDefault="00000000" w:rsidP="00B86055">
      <w:pPr>
        <w:pStyle w:val="paragraph"/>
        <w:shd w:val="clear" w:color="auto" w:fill="FFFFFF"/>
        <w:rPr>
          <w:rFonts w:asciiTheme="minorHAnsi" w:hAnsiTheme="minorHAnsi" w:cstheme="minorHAnsi"/>
          <w:sz w:val="18"/>
          <w:szCs w:val="18"/>
        </w:rPr>
      </w:pPr>
      <w:hyperlink r:id="rId32" w:tgtFrame="_blank" w:history="1">
        <w:r w:rsidR="00B86055" w:rsidRPr="002F4662">
          <w:rPr>
            <w:rStyle w:val="normaltextrun"/>
            <w:rFonts w:asciiTheme="minorHAnsi" w:hAnsiTheme="minorHAnsi" w:cstheme="minorHAnsi"/>
            <w:color w:val="0000FF"/>
            <w:sz w:val="24"/>
            <w:szCs w:val="24"/>
          </w:rPr>
          <w:t>How a Bill Becomes a Law - GovTrack.us</w:t>
        </w:r>
      </w:hyperlink>
      <w:r w:rsidR="00B86055" w:rsidRPr="002F4662">
        <w:rPr>
          <w:rStyle w:val="eop"/>
          <w:rFonts w:asciiTheme="minorHAnsi" w:hAnsiTheme="minorHAnsi" w:cstheme="minorHAnsi"/>
        </w:rPr>
        <w:t> </w:t>
      </w:r>
    </w:p>
    <w:p w14:paraId="0FA48D67" w14:textId="77777777" w:rsidR="00B86055" w:rsidRPr="002F4662" w:rsidRDefault="00000000" w:rsidP="00B86055">
      <w:pPr>
        <w:pStyle w:val="paragraph"/>
        <w:shd w:val="clear" w:color="auto" w:fill="FFFFFF"/>
        <w:rPr>
          <w:rFonts w:asciiTheme="minorHAnsi" w:hAnsiTheme="minorHAnsi" w:cstheme="minorHAnsi"/>
          <w:sz w:val="18"/>
          <w:szCs w:val="18"/>
        </w:rPr>
      </w:pPr>
      <w:hyperlink r:id="rId33" w:tgtFrame="_blank" w:history="1">
        <w:r w:rsidR="00B86055" w:rsidRPr="002F4662">
          <w:rPr>
            <w:rStyle w:val="normaltextrun"/>
            <w:rFonts w:asciiTheme="minorHAnsi" w:hAnsiTheme="minorHAnsi" w:cstheme="minorHAnsi"/>
            <w:color w:val="0000FF"/>
            <w:sz w:val="24"/>
            <w:szCs w:val="24"/>
          </w:rPr>
          <w:t>How Laws Are Made | USAGov</w:t>
        </w:r>
      </w:hyperlink>
      <w:r w:rsidR="00B86055" w:rsidRPr="002F4662">
        <w:rPr>
          <w:rStyle w:val="eop"/>
          <w:rFonts w:asciiTheme="minorHAnsi" w:hAnsiTheme="minorHAnsi" w:cstheme="minorHAnsi"/>
        </w:rPr>
        <w:t> </w:t>
      </w:r>
    </w:p>
    <w:p w14:paraId="36D1547A" w14:textId="77777777" w:rsidR="00B86055" w:rsidRPr="002F4662" w:rsidRDefault="00000000" w:rsidP="00B86055">
      <w:pPr>
        <w:pStyle w:val="paragraph"/>
        <w:shd w:val="clear" w:color="auto" w:fill="FFFFFF"/>
        <w:rPr>
          <w:rFonts w:asciiTheme="minorHAnsi" w:hAnsiTheme="minorHAnsi" w:cstheme="minorHAnsi"/>
          <w:sz w:val="18"/>
          <w:szCs w:val="18"/>
        </w:rPr>
      </w:pPr>
      <w:hyperlink r:id="rId34" w:tgtFrame="_blank" w:history="1">
        <w:r w:rsidR="00B86055" w:rsidRPr="002F4662">
          <w:rPr>
            <w:rStyle w:val="normaltextrun"/>
            <w:rFonts w:asciiTheme="minorHAnsi" w:hAnsiTheme="minorHAnsi" w:cstheme="minorHAnsi"/>
            <w:color w:val="0000FF"/>
            <w:sz w:val="24"/>
            <w:szCs w:val="24"/>
          </w:rPr>
          <w:t>The Legislative Process | house.gov</w:t>
        </w:r>
      </w:hyperlink>
      <w:r w:rsidR="00B86055" w:rsidRPr="002F4662">
        <w:rPr>
          <w:rStyle w:val="eop"/>
          <w:rFonts w:asciiTheme="minorHAnsi" w:hAnsiTheme="minorHAnsi" w:cstheme="minorHAnsi"/>
        </w:rPr>
        <w:t> </w:t>
      </w:r>
    </w:p>
    <w:p w14:paraId="17A29EAB" w14:textId="77777777" w:rsidR="00B86055" w:rsidRPr="002F4662" w:rsidRDefault="00B86055" w:rsidP="00B86055">
      <w:pPr>
        <w:pStyle w:val="paragraph"/>
        <w:shd w:val="clear" w:color="auto" w:fill="FFFFFF"/>
        <w:rPr>
          <w:rFonts w:asciiTheme="minorHAnsi" w:hAnsiTheme="minorHAnsi" w:cstheme="minorHAnsi"/>
          <w:sz w:val="18"/>
          <w:szCs w:val="18"/>
        </w:rPr>
      </w:pPr>
      <w:r w:rsidRPr="002F4662">
        <w:rPr>
          <w:rStyle w:val="normaltextrun"/>
          <w:rFonts w:asciiTheme="minorHAnsi" w:hAnsiTheme="minorHAnsi" w:cstheme="minorHAnsi"/>
          <w:sz w:val="24"/>
          <w:szCs w:val="24"/>
        </w:rPr>
        <w:t>  </w:t>
      </w:r>
      <w:r w:rsidRPr="002F4662">
        <w:rPr>
          <w:rStyle w:val="eop"/>
          <w:rFonts w:asciiTheme="minorHAnsi" w:hAnsiTheme="minorHAnsi" w:cstheme="minorHAnsi"/>
          <w:sz w:val="24"/>
          <w:szCs w:val="24"/>
        </w:rPr>
        <w:t> </w:t>
      </w:r>
    </w:p>
    <w:p w14:paraId="54ADD17F" w14:textId="77777777" w:rsidR="00B86055" w:rsidRPr="002F4662" w:rsidRDefault="00B86055" w:rsidP="00B86055">
      <w:pPr>
        <w:pStyle w:val="paragraph"/>
        <w:shd w:val="clear" w:color="auto" w:fill="FFFFFF"/>
        <w:spacing w:line="291" w:lineRule="atLeast"/>
        <w:rPr>
          <w:rFonts w:asciiTheme="minorHAnsi" w:hAnsiTheme="minorHAnsi" w:cstheme="minorHAnsi"/>
        </w:rPr>
      </w:pPr>
      <w:r w:rsidRPr="002F4662">
        <w:rPr>
          <w:rFonts w:asciiTheme="minorHAnsi" w:hAnsiTheme="minorHAnsi" w:cstheme="minorHAnsi"/>
        </w:rPr>
        <w:t> </w:t>
      </w:r>
    </w:p>
    <w:p w14:paraId="2B4AEB00" w14:textId="77777777" w:rsidR="00B86055" w:rsidRPr="002F4662" w:rsidRDefault="00B86055" w:rsidP="00547488">
      <w:pPr>
        <w:pStyle w:val="Heading2"/>
        <w:rPr>
          <w:rFonts w:asciiTheme="minorHAnsi" w:hAnsiTheme="minorHAnsi" w:cstheme="minorHAnsi"/>
          <w:sz w:val="18"/>
          <w:szCs w:val="18"/>
        </w:rPr>
      </w:pPr>
      <w:r w:rsidRPr="002F4662">
        <w:rPr>
          <w:rStyle w:val="normaltextrun"/>
          <w:rFonts w:asciiTheme="minorHAnsi" w:hAnsiTheme="minorHAnsi" w:cstheme="minorHAnsi"/>
          <w:sz w:val="24"/>
          <w:szCs w:val="24"/>
        </w:rPr>
        <w:t>Health Policy textbooks</w:t>
      </w:r>
      <w:r w:rsidRPr="002F4662">
        <w:rPr>
          <w:rStyle w:val="eop"/>
          <w:rFonts w:asciiTheme="minorHAnsi" w:hAnsiTheme="minorHAnsi" w:cstheme="minorHAnsi"/>
          <w:sz w:val="24"/>
          <w:szCs w:val="24"/>
        </w:rPr>
        <w:t> </w:t>
      </w:r>
    </w:p>
    <w:p w14:paraId="74262E1F" w14:textId="77777777" w:rsidR="00B86055" w:rsidRPr="002F4662" w:rsidRDefault="00B86055" w:rsidP="00B86055">
      <w:pPr>
        <w:pStyle w:val="paragraph"/>
        <w:shd w:val="clear" w:color="auto" w:fill="FFFFFF"/>
        <w:spacing w:line="291" w:lineRule="atLeast"/>
        <w:rPr>
          <w:rFonts w:asciiTheme="minorHAnsi" w:hAnsiTheme="minorHAnsi" w:cstheme="minorHAnsi"/>
          <w:sz w:val="18"/>
          <w:szCs w:val="18"/>
        </w:rPr>
      </w:pPr>
      <w:r w:rsidRPr="002F4662">
        <w:rPr>
          <w:rStyle w:val="normaltextrun"/>
          <w:rFonts w:asciiTheme="minorHAnsi" w:hAnsiTheme="minorHAnsi" w:cstheme="minorHAnsi"/>
        </w:rPr>
        <w:t> </w:t>
      </w:r>
      <w:r w:rsidRPr="002F4662">
        <w:rPr>
          <w:rStyle w:val="eop"/>
          <w:rFonts w:asciiTheme="minorHAnsi" w:hAnsiTheme="minorHAnsi" w:cstheme="minorHAnsi"/>
        </w:rPr>
        <w:t> </w:t>
      </w:r>
    </w:p>
    <w:p w14:paraId="77C45445" w14:textId="5D19A1BE" w:rsidR="00B86055" w:rsidRPr="0036619F" w:rsidRDefault="00B86055" w:rsidP="00B86055">
      <w:pPr>
        <w:pStyle w:val="paragraph"/>
        <w:shd w:val="clear" w:color="auto" w:fill="FFFFFF"/>
        <w:spacing w:line="291" w:lineRule="atLeast"/>
        <w:ind w:left="720" w:hanging="720"/>
        <w:rPr>
          <w:rFonts w:asciiTheme="minorHAnsi" w:hAnsiTheme="minorHAnsi" w:cstheme="minorHAnsi"/>
        </w:rPr>
      </w:pPr>
      <w:r w:rsidRPr="0036619F">
        <w:rPr>
          <w:rStyle w:val="normaltextrun"/>
          <w:rFonts w:asciiTheme="minorHAnsi" w:hAnsiTheme="minorHAnsi" w:cstheme="minorHAnsi"/>
          <w:color w:val="000000"/>
        </w:rPr>
        <w:t>Goudreau, K. &amp; Smolenski, M. (2018</w:t>
      </w:r>
      <w:r w:rsidRPr="0036619F">
        <w:rPr>
          <w:rStyle w:val="normaltextrun"/>
          <w:rFonts w:asciiTheme="minorHAnsi" w:hAnsiTheme="minorHAnsi" w:cstheme="minorHAnsi"/>
        </w:rPr>
        <w:t>). </w:t>
      </w:r>
      <w:hyperlink r:id="rId35" w:tgtFrame="_blank" w:history="1">
        <w:r w:rsidRPr="0036619F">
          <w:rPr>
            <w:rStyle w:val="normaltextrun"/>
            <w:rFonts w:asciiTheme="minorHAnsi" w:hAnsiTheme="minorHAnsi" w:cstheme="minorHAnsi"/>
          </w:rPr>
          <w:t xml:space="preserve">Health policy and advanced practice </w:t>
        </w:r>
        <w:r w:rsidR="001E6994" w:rsidRPr="0036619F">
          <w:rPr>
            <w:rStyle w:val="normaltextrun"/>
            <w:rFonts w:asciiTheme="minorHAnsi" w:hAnsiTheme="minorHAnsi" w:cstheme="minorHAnsi"/>
          </w:rPr>
          <w:t>nursing:</w:t>
        </w:r>
        <w:r w:rsidRPr="0036619F">
          <w:rPr>
            <w:rStyle w:val="normaltextrun"/>
            <w:rFonts w:asciiTheme="minorHAnsi" w:hAnsiTheme="minorHAnsi" w:cstheme="minorHAnsi"/>
          </w:rPr>
          <w:t xml:space="preserve"> impact and implications</w:t>
        </w:r>
      </w:hyperlink>
      <w:r w:rsidRPr="0036619F">
        <w:rPr>
          <w:rStyle w:val="normaltextrun"/>
          <w:rFonts w:asciiTheme="minorHAnsi" w:hAnsiTheme="minorHAnsi" w:cstheme="minorHAnsi"/>
        </w:rPr>
        <w:t>. New York, NY: Springer Publishing, LLC. </w:t>
      </w:r>
      <w:r w:rsidRPr="0036619F">
        <w:rPr>
          <w:rStyle w:val="eop"/>
          <w:rFonts w:asciiTheme="minorHAnsi" w:hAnsiTheme="minorHAnsi" w:cstheme="minorHAnsi"/>
        </w:rPr>
        <w:t> </w:t>
      </w:r>
    </w:p>
    <w:p w14:paraId="41E1C265" w14:textId="75FD6A61" w:rsidR="00B86055" w:rsidRPr="0036619F" w:rsidRDefault="00B86055" w:rsidP="00B86055">
      <w:pPr>
        <w:pStyle w:val="paragraph"/>
        <w:shd w:val="clear" w:color="auto" w:fill="FFFFFF"/>
        <w:spacing w:line="291" w:lineRule="atLeast"/>
        <w:ind w:left="720" w:hanging="720"/>
        <w:rPr>
          <w:rFonts w:asciiTheme="minorHAnsi" w:hAnsiTheme="minorHAnsi" w:cstheme="minorHAnsi"/>
        </w:rPr>
      </w:pPr>
      <w:r w:rsidRPr="0036619F">
        <w:rPr>
          <w:rStyle w:val="normaltextrun"/>
          <w:rFonts w:asciiTheme="minorHAnsi" w:hAnsiTheme="minorHAnsi" w:cstheme="minorHAnsi"/>
          <w:color w:val="000000"/>
        </w:rPr>
        <w:t>Loversridge</w:t>
      </w:r>
      <w:r w:rsidRPr="0036619F">
        <w:rPr>
          <w:rFonts w:asciiTheme="minorHAnsi" w:hAnsiTheme="minorHAnsi" w:cstheme="minorHAnsi"/>
        </w:rPr>
        <w:t>, J. (2019). Evidence-Informed Health Policy 1st Edition. Indianapolis, IN: SIGMA Theta Tau International</w:t>
      </w:r>
      <w:r w:rsidR="0036619F">
        <w:rPr>
          <w:rFonts w:asciiTheme="minorHAnsi" w:hAnsiTheme="minorHAnsi" w:cstheme="minorHAnsi"/>
        </w:rPr>
        <w:t>.</w:t>
      </w:r>
    </w:p>
    <w:p w14:paraId="0CEB62C1" w14:textId="1608FD40" w:rsidR="00B86055" w:rsidRPr="0036619F" w:rsidRDefault="00B86055" w:rsidP="00B86055">
      <w:pPr>
        <w:pStyle w:val="paragraph"/>
        <w:shd w:val="clear" w:color="auto" w:fill="FFFFFF"/>
        <w:spacing w:line="291" w:lineRule="atLeast"/>
        <w:ind w:left="720" w:hanging="720"/>
        <w:rPr>
          <w:rFonts w:asciiTheme="minorHAnsi" w:hAnsiTheme="minorHAnsi" w:cstheme="minorHAnsi"/>
        </w:rPr>
      </w:pPr>
      <w:r w:rsidRPr="0036619F">
        <w:rPr>
          <w:rStyle w:val="normaltextrun"/>
          <w:rFonts w:asciiTheme="minorHAnsi" w:hAnsiTheme="minorHAnsi" w:cstheme="minorHAnsi"/>
        </w:rPr>
        <w:t>Mason D, Perez A, McLemore M &amp; Dickson E (2021) Policy &amp; Politics in Nursing and Health Care (Policy and Politics in Nursing and Health) 8th Edition, Elsevier</w:t>
      </w:r>
      <w:r w:rsidR="0036619F" w:rsidRPr="0036619F">
        <w:rPr>
          <w:rStyle w:val="normaltextrun"/>
          <w:rFonts w:asciiTheme="minorHAnsi" w:hAnsiTheme="minorHAnsi" w:cstheme="minorHAnsi"/>
        </w:rPr>
        <w:t>.</w:t>
      </w:r>
      <w:r w:rsidRPr="0036619F">
        <w:rPr>
          <w:rStyle w:val="normaltextrun"/>
          <w:rFonts w:asciiTheme="minorHAnsi" w:hAnsiTheme="minorHAnsi" w:cstheme="minorHAnsi"/>
        </w:rPr>
        <w:t> </w:t>
      </w:r>
      <w:r w:rsidRPr="0036619F">
        <w:rPr>
          <w:rStyle w:val="eop"/>
          <w:rFonts w:asciiTheme="minorHAnsi" w:hAnsiTheme="minorHAnsi" w:cstheme="minorHAnsi"/>
        </w:rPr>
        <w:t> </w:t>
      </w:r>
    </w:p>
    <w:p w14:paraId="3D383338" w14:textId="461970A2" w:rsidR="00B86055" w:rsidRPr="0036619F" w:rsidRDefault="00B86055" w:rsidP="00B86055">
      <w:pPr>
        <w:pStyle w:val="paragraph"/>
        <w:shd w:val="clear" w:color="auto" w:fill="FFFFFF"/>
        <w:spacing w:line="291" w:lineRule="atLeast"/>
        <w:ind w:left="720" w:hanging="720"/>
        <w:rPr>
          <w:rFonts w:asciiTheme="minorHAnsi" w:hAnsiTheme="minorHAnsi" w:cstheme="minorHAnsi"/>
        </w:rPr>
      </w:pPr>
      <w:r w:rsidRPr="0036619F">
        <w:rPr>
          <w:rStyle w:val="normaltextrun"/>
          <w:rFonts w:asciiTheme="minorHAnsi" w:hAnsiTheme="minorHAnsi" w:cstheme="minorHAnsi"/>
        </w:rPr>
        <w:t>Nickitas D, Middaugh D, Feeg V (2020) Policy and Politics for Nurses and Other Health Professionals, Third Edition, </w:t>
      </w:r>
      <w:r w:rsidR="008645BB" w:rsidRPr="0036619F">
        <w:rPr>
          <w:rStyle w:val="normaltextrun"/>
          <w:rFonts w:asciiTheme="minorHAnsi" w:hAnsiTheme="minorHAnsi" w:cstheme="minorHAnsi"/>
        </w:rPr>
        <w:t>Jones,</w:t>
      </w:r>
      <w:r w:rsidRPr="0036619F">
        <w:rPr>
          <w:rStyle w:val="normaltextrun"/>
          <w:rFonts w:asciiTheme="minorHAnsi" w:hAnsiTheme="minorHAnsi" w:cstheme="minorHAnsi"/>
        </w:rPr>
        <w:t> and Bartlett Learning</w:t>
      </w:r>
      <w:r w:rsidR="0036619F" w:rsidRPr="0036619F">
        <w:rPr>
          <w:rStyle w:val="eop"/>
          <w:rFonts w:asciiTheme="minorHAnsi" w:hAnsiTheme="minorHAnsi" w:cstheme="minorHAnsi"/>
        </w:rPr>
        <w:t>.</w:t>
      </w:r>
    </w:p>
    <w:p w14:paraId="3011D285" w14:textId="47EE3E5C" w:rsidR="00B86055" w:rsidRPr="0036619F" w:rsidRDefault="00B86055" w:rsidP="00B86055">
      <w:pPr>
        <w:pStyle w:val="paragraph"/>
        <w:shd w:val="clear" w:color="auto" w:fill="FFFFFF"/>
        <w:spacing w:line="291" w:lineRule="atLeast"/>
        <w:ind w:left="720" w:hanging="720"/>
        <w:rPr>
          <w:rFonts w:asciiTheme="minorHAnsi" w:hAnsiTheme="minorHAnsi" w:cstheme="minorHAnsi"/>
        </w:rPr>
      </w:pPr>
      <w:r w:rsidRPr="0036619F">
        <w:rPr>
          <w:rStyle w:val="normaltextrun"/>
          <w:rFonts w:asciiTheme="minorHAnsi" w:hAnsiTheme="minorHAnsi" w:cstheme="minorHAnsi"/>
        </w:rPr>
        <w:t>Rambur B (2022) </w:t>
      </w:r>
      <w:hyperlink r:id="rId36" w:tgtFrame="_blank" w:history="1">
        <w:r w:rsidRPr="0036619F">
          <w:rPr>
            <w:rStyle w:val="normaltextrun"/>
            <w:rFonts w:asciiTheme="minorHAnsi" w:hAnsiTheme="minorHAnsi" w:cstheme="minorHAnsi"/>
          </w:rPr>
          <w:t>Health Care Finance, Economics, and Policy for Nurses, Second Edition: A Foundational Guide</w:t>
        </w:r>
      </w:hyperlink>
      <w:r w:rsidRPr="0036619F">
        <w:rPr>
          <w:rStyle w:val="normaltextrun"/>
          <w:rFonts w:asciiTheme="minorHAnsi" w:hAnsiTheme="minorHAnsi" w:cstheme="minorHAnsi"/>
        </w:rPr>
        <w:t>, Springer</w:t>
      </w:r>
      <w:r w:rsidR="0036619F" w:rsidRPr="0036619F">
        <w:rPr>
          <w:rStyle w:val="normaltextrun"/>
          <w:rFonts w:asciiTheme="minorHAnsi" w:hAnsiTheme="minorHAnsi" w:cstheme="minorHAnsi"/>
        </w:rPr>
        <w:t>.</w:t>
      </w:r>
    </w:p>
    <w:p w14:paraId="36C616BA" w14:textId="77777777" w:rsidR="00B86055" w:rsidRPr="0036619F" w:rsidRDefault="00B86055" w:rsidP="00B86055">
      <w:pPr>
        <w:pStyle w:val="paragraph"/>
        <w:shd w:val="clear" w:color="auto" w:fill="FFFFFF"/>
        <w:spacing w:line="291" w:lineRule="atLeast"/>
        <w:ind w:left="720" w:hanging="720"/>
        <w:rPr>
          <w:rFonts w:asciiTheme="minorHAnsi" w:hAnsiTheme="minorHAnsi" w:cstheme="minorHAnsi"/>
        </w:rPr>
      </w:pPr>
      <w:r w:rsidRPr="0036619F">
        <w:rPr>
          <w:rStyle w:val="normaltextrun"/>
          <w:rFonts w:asciiTheme="minorHAnsi" w:hAnsiTheme="minorHAnsi" w:cstheme="minorHAnsi"/>
          <w:color w:val="000000"/>
        </w:rPr>
        <w:t>Shi, L. (2019). Introduction to Health Policy, Second Edition. Health Administration Press. </w:t>
      </w:r>
      <w:r w:rsidRPr="0036619F">
        <w:rPr>
          <w:rStyle w:val="eop"/>
          <w:rFonts w:asciiTheme="minorHAnsi" w:hAnsiTheme="minorHAnsi" w:cstheme="minorHAnsi"/>
          <w:color w:val="000000"/>
        </w:rPr>
        <w:t> </w:t>
      </w:r>
    </w:p>
    <w:p w14:paraId="6862B250" w14:textId="76DE0642" w:rsidR="00B86055" w:rsidRPr="002F4662" w:rsidRDefault="00B86055" w:rsidP="00B86055">
      <w:pPr>
        <w:pStyle w:val="paragraph"/>
        <w:shd w:val="clear" w:color="auto" w:fill="FFFFFF"/>
        <w:spacing w:line="291" w:lineRule="atLeast"/>
        <w:rPr>
          <w:rFonts w:asciiTheme="minorHAnsi" w:hAnsiTheme="minorHAnsi" w:cstheme="minorHAnsi"/>
        </w:rPr>
      </w:pPr>
    </w:p>
    <w:p w14:paraId="2D5F919D" w14:textId="77777777" w:rsidR="00B86055" w:rsidRPr="002F4662" w:rsidRDefault="00B86055" w:rsidP="0086641A">
      <w:pPr>
        <w:pStyle w:val="Heading2"/>
        <w:rPr>
          <w:rFonts w:asciiTheme="minorHAnsi" w:hAnsiTheme="minorHAnsi" w:cstheme="minorHAnsi"/>
        </w:rPr>
      </w:pPr>
      <w:r w:rsidRPr="002F4662">
        <w:rPr>
          <w:rStyle w:val="normaltextrun"/>
          <w:rFonts w:asciiTheme="minorHAnsi" w:hAnsiTheme="minorHAnsi" w:cstheme="minorHAnsi"/>
        </w:rPr>
        <w:t>Journals </w:t>
      </w:r>
      <w:r w:rsidRPr="002F4662">
        <w:rPr>
          <w:rStyle w:val="eop"/>
          <w:rFonts w:asciiTheme="minorHAnsi" w:hAnsiTheme="minorHAnsi" w:cstheme="minorHAnsi"/>
        </w:rPr>
        <w:t> </w:t>
      </w:r>
    </w:p>
    <w:p w14:paraId="4661F2C0" w14:textId="77777777" w:rsidR="00B86055" w:rsidRPr="0036619F" w:rsidRDefault="00B86055" w:rsidP="00B86055">
      <w:pPr>
        <w:pStyle w:val="paragraph"/>
        <w:shd w:val="clear" w:color="auto" w:fill="FFFFFF"/>
        <w:spacing w:line="291" w:lineRule="atLeast"/>
        <w:rPr>
          <w:rFonts w:asciiTheme="minorHAnsi" w:hAnsiTheme="minorHAnsi" w:cstheme="minorHAnsi"/>
        </w:rPr>
      </w:pPr>
      <w:r w:rsidRPr="0036619F">
        <w:rPr>
          <w:rStyle w:val="normaltextrun"/>
          <w:rFonts w:asciiTheme="minorHAnsi" w:hAnsiTheme="minorHAnsi" w:cstheme="minorHAnsi"/>
        </w:rPr>
        <w:t>Policy, Politics, &amp; Nursing Practice</w:t>
      </w:r>
      <w:r w:rsidRPr="0036619F">
        <w:rPr>
          <w:rStyle w:val="eop"/>
          <w:rFonts w:asciiTheme="minorHAnsi" w:hAnsiTheme="minorHAnsi" w:cstheme="minorHAnsi"/>
        </w:rPr>
        <w:t> </w:t>
      </w:r>
    </w:p>
    <w:p w14:paraId="36AA8ADD" w14:textId="77777777" w:rsidR="00B86055" w:rsidRPr="0036619F" w:rsidRDefault="00B86055" w:rsidP="00B86055">
      <w:pPr>
        <w:pStyle w:val="paragraph"/>
        <w:shd w:val="clear" w:color="auto" w:fill="FFFFFF"/>
        <w:spacing w:line="291" w:lineRule="atLeast"/>
        <w:rPr>
          <w:rFonts w:asciiTheme="minorHAnsi" w:hAnsiTheme="minorHAnsi" w:cstheme="minorHAnsi"/>
        </w:rPr>
      </w:pPr>
      <w:r w:rsidRPr="0036619F">
        <w:rPr>
          <w:rStyle w:val="normaltextrun"/>
          <w:rFonts w:asciiTheme="minorHAnsi" w:hAnsiTheme="minorHAnsi" w:cstheme="minorHAnsi"/>
        </w:rPr>
        <w:t>Health Affairs</w:t>
      </w:r>
      <w:r w:rsidRPr="0036619F">
        <w:rPr>
          <w:rStyle w:val="eop"/>
          <w:rFonts w:asciiTheme="minorHAnsi" w:hAnsiTheme="minorHAnsi" w:cstheme="minorHAnsi"/>
        </w:rPr>
        <w:t> </w:t>
      </w:r>
    </w:p>
    <w:p w14:paraId="479E1554" w14:textId="77777777" w:rsidR="00B86055" w:rsidRPr="0036619F" w:rsidRDefault="00B86055" w:rsidP="00B86055">
      <w:pPr>
        <w:pStyle w:val="paragraph"/>
        <w:shd w:val="clear" w:color="auto" w:fill="FFFFFF"/>
        <w:spacing w:line="291" w:lineRule="atLeast"/>
        <w:rPr>
          <w:rFonts w:asciiTheme="minorHAnsi" w:hAnsiTheme="minorHAnsi" w:cstheme="minorHAnsi"/>
        </w:rPr>
      </w:pPr>
      <w:r w:rsidRPr="0036619F">
        <w:rPr>
          <w:rStyle w:val="normaltextrun"/>
          <w:rFonts w:asciiTheme="minorHAnsi" w:hAnsiTheme="minorHAnsi" w:cstheme="minorHAnsi"/>
        </w:rPr>
        <w:t>Milbank Quarterly</w:t>
      </w:r>
      <w:r w:rsidRPr="0036619F">
        <w:rPr>
          <w:rStyle w:val="eop"/>
          <w:rFonts w:asciiTheme="minorHAnsi" w:hAnsiTheme="minorHAnsi" w:cstheme="minorHAnsi"/>
        </w:rPr>
        <w:t> </w:t>
      </w:r>
    </w:p>
    <w:p w14:paraId="568636FF" w14:textId="4DD33606" w:rsidR="00B86055" w:rsidRPr="002F4662" w:rsidRDefault="00B86055" w:rsidP="00B86055">
      <w:pPr>
        <w:pStyle w:val="paragraph"/>
        <w:shd w:val="clear" w:color="auto" w:fill="FFFFFF"/>
        <w:spacing w:line="291" w:lineRule="atLeast"/>
        <w:rPr>
          <w:rFonts w:asciiTheme="minorHAnsi" w:hAnsiTheme="minorHAnsi" w:cstheme="minorHAnsi"/>
          <w:sz w:val="18"/>
          <w:szCs w:val="18"/>
        </w:rPr>
      </w:pPr>
      <w:r w:rsidRPr="002F4662">
        <w:rPr>
          <w:rFonts w:asciiTheme="minorHAnsi" w:hAnsiTheme="minorHAnsi" w:cstheme="minorHAnsi"/>
        </w:rPr>
        <w:t> </w:t>
      </w:r>
      <w:r w:rsidRPr="002F4662">
        <w:rPr>
          <w:rStyle w:val="scxw109849479"/>
          <w:rFonts w:asciiTheme="minorHAnsi" w:hAnsiTheme="minorHAnsi" w:cstheme="minorHAnsi"/>
        </w:rPr>
        <w:t> </w:t>
      </w:r>
      <w:r w:rsidRPr="002F4662">
        <w:rPr>
          <w:rStyle w:val="eop"/>
          <w:rFonts w:asciiTheme="minorHAnsi" w:hAnsiTheme="minorHAnsi" w:cstheme="minorHAnsi"/>
        </w:rPr>
        <w:t> </w:t>
      </w:r>
    </w:p>
    <w:p w14:paraId="75F8B13F" w14:textId="77777777" w:rsidR="00B86055" w:rsidRPr="002F4662" w:rsidRDefault="00B86055" w:rsidP="0086641A">
      <w:pPr>
        <w:pStyle w:val="Heading2"/>
        <w:rPr>
          <w:rFonts w:asciiTheme="minorHAnsi" w:hAnsiTheme="minorHAnsi" w:cstheme="minorHAnsi"/>
        </w:rPr>
      </w:pPr>
      <w:r w:rsidRPr="002F4662">
        <w:rPr>
          <w:rStyle w:val="normaltextrun"/>
          <w:rFonts w:asciiTheme="minorHAnsi" w:hAnsiTheme="minorHAnsi" w:cstheme="minorHAnsi"/>
        </w:rPr>
        <w:t>Nurse Organization Websites</w:t>
      </w:r>
      <w:r w:rsidRPr="002F4662">
        <w:rPr>
          <w:rStyle w:val="eop"/>
          <w:rFonts w:asciiTheme="minorHAnsi" w:hAnsiTheme="minorHAnsi" w:cstheme="minorHAnsi"/>
        </w:rPr>
        <w:t> </w:t>
      </w:r>
    </w:p>
    <w:p w14:paraId="616D25FA" w14:textId="07EA48CD" w:rsidR="002E1271" w:rsidRDefault="002E1271" w:rsidP="00B86055">
      <w:pPr>
        <w:pStyle w:val="paragraph"/>
        <w:shd w:val="clear" w:color="auto" w:fill="FFFFFF"/>
        <w:spacing w:line="291" w:lineRule="atLeast"/>
        <w:rPr>
          <w:rStyle w:val="normaltextrun"/>
          <w:rFonts w:asciiTheme="minorHAnsi" w:hAnsiTheme="minorHAnsi" w:cstheme="minorHAnsi"/>
          <w:color w:val="202122"/>
          <w:sz w:val="21"/>
          <w:szCs w:val="21"/>
        </w:rPr>
      </w:pPr>
      <w:r>
        <w:rPr>
          <w:rStyle w:val="normaltextrun"/>
          <w:rFonts w:asciiTheme="minorHAnsi" w:hAnsiTheme="minorHAnsi" w:cstheme="minorHAnsi"/>
          <w:color w:val="202122"/>
          <w:sz w:val="21"/>
          <w:szCs w:val="21"/>
        </w:rPr>
        <w:t>American Academy of Nursing</w:t>
      </w:r>
    </w:p>
    <w:p w14:paraId="2F518771" w14:textId="4020A9AF" w:rsidR="0036619F" w:rsidRDefault="0036619F" w:rsidP="00B86055">
      <w:pPr>
        <w:pStyle w:val="paragraph"/>
        <w:shd w:val="clear" w:color="auto" w:fill="FFFFFF"/>
        <w:spacing w:line="291" w:lineRule="atLeast"/>
        <w:rPr>
          <w:rStyle w:val="normaltextrun"/>
          <w:rFonts w:asciiTheme="minorHAnsi" w:hAnsiTheme="minorHAnsi" w:cstheme="minorHAnsi"/>
          <w:color w:val="202122"/>
          <w:sz w:val="21"/>
          <w:szCs w:val="21"/>
        </w:rPr>
      </w:pPr>
      <w:r>
        <w:rPr>
          <w:rStyle w:val="normaltextrun"/>
          <w:rFonts w:asciiTheme="minorHAnsi" w:hAnsiTheme="minorHAnsi" w:cstheme="minorHAnsi"/>
          <w:color w:val="202122"/>
          <w:sz w:val="21"/>
          <w:szCs w:val="21"/>
        </w:rPr>
        <w:t>American Association of Colleges of Nursing</w:t>
      </w:r>
    </w:p>
    <w:p w14:paraId="1667B7C3" w14:textId="6358B33B" w:rsidR="001860BB" w:rsidRDefault="001860BB" w:rsidP="00B86055">
      <w:pPr>
        <w:pStyle w:val="paragraph"/>
        <w:shd w:val="clear" w:color="auto" w:fill="FFFFFF"/>
        <w:spacing w:line="291" w:lineRule="atLeast"/>
        <w:rPr>
          <w:rStyle w:val="normaltextrun"/>
          <w:rFonts w:asciiTheme="minorHAnsi" w:hAnsiTheme="minorHAnsi" w:cstheme="minorHAnsi"/>
          <w:color w:val="202122"/>
          <w:sz w:val="21"/>
          <w:szCs w:val="21"/>
        </w:rPr>
      </w:pPr>
      <w:r>
        <w:rPr>
          <w:rStyle w:val="normaltextrun"/>
          <w:rFonts w:asciiTheme="minorHAnsi" w:hAnsiTheme="minorHAnsi" w:cstheme="minorHAnsi"/>
          <w:color w:val="202122"/>
          <w:sz w:val="21"/>
          <w:szCs w:val="21"/>
        </w:rPr>
        <w:t>American Association of Nurse Anesthetists</w:t>
      </w:r>
    </w:p>
    <w:p w14:paraId="60B4AB35" w14:textId="0D6FD5BF" w:rsidR="00B86055" w:rsidRPr="002F4662" w:rsidRDefault="00B86055" w:rsidP="00B86055">
      <w:pPr>
        <w:pStyle w:val="paragraph"/>
        <w:shd w:val="clear" w:color="auto" w:fill="FFFFFF"/>
        <w:spacing w:line="291" w:lineRule="atLeast"/>
        <w:rPr>
          <w:rFonts w:asciiTheme="minorHAnsi" w:hAnsiTheme="minorHAnsi" w:cstheme="minorHAnsi"/>
          <w:sz w:val="18"/>
          <w:szCs w:val="18"/>
        </w:rPr>
      </w:pPr>
      <w:r w:rsidRPr="002F4662">
        <w:rPr>
          <w:rStyle w:val="normaltextrun"/>
          <w:rFonts w:asciiTheme="minorHAnsi" w:hAnsiTheme="minorHAnsi" w:cstheme="minorHAnsi"/>
          <w:color w:val="202122"/>
          <w:sz w:val="21"/>
          <w:szCs w:val="21"/>
        </w:rPr>
        <w:t>American Nurses Association</w:t>
      </w:r>
      <w:r w:rsidRPr="002F4662">
        <w:rPr>
          <w:rStyle w:val="eop"/>
          <w:rFonts w:asciiTheme="minorHAnsi" w:hAnsiTheme="minorHAnsi" w:cstheme="minorHAnsi"/>
          <w:color w:val="202122"/>
          <w:sz w:val="21"/>
          <w:szCs w:val="21"/>
        </w:rPr>
        <w:t> </w:t>
      </w:r>
    </w:p>
    <w:p w14:paraId="0E18EAB2" w14:textId="62C04F3F" w:rsidR="00B86055" w:rsidRDefault="00B86055" w:rsidP="00B86055">
      <w:pPr>
        <w:pStyle w:val="paragraph"/>
        <w:shd w:val="clear" w:color="auto" w:fill="FFFFFF"/>
        <w:spacing w:line="291" w:lineRule="atLeast"/>
        <w:rPr>
          <w:rStyle w:val="normaltextrun"/>
          <w:rFonts w:asciiTheme="minorHAnsi" w:hAnsiTheme="minorHAnsi" w:cstheme="minorHAnsi"/>
          <w:color w:val="202122"/>
          <w:sz w:val="21"/>
          <w:szCs w:val="21"/>
        </w:rPr>
      </w:pPr>
      <w:r w:rsidRPr="002F4662">
        <w:rPr>
          <w:rStyle w:val="normaltextrun"/>
          <w:rFonts w:asciiTheme="minorHAnsi" w:hAnsiTheme="minorHAnsi" w:cstheme="minorHAnsi"/>
          <w:color w:val="202122"/>
          <w:sz w:val="21"/>
          <w:szCs w:val="21"/>
        </w:rPr>
        <w:t>American Association of Nurse Practitioners</w:t>
      </w:r>
    </w:p>
    <w:p w14:paraId="55DCC1A5" w14:textId="3BD10BE7" w:rsidR="002E1271" w:rsidRDefault="001860BB" w:rsidP="00B86055">
      <w:pPr>
        <w:pStyle w:val="paragraph"/>
        <w:shd w:val="clear" w:color="auto" w:fill="FFFFFF"/>
        <w:spacing w:line="291" w:lineRule="atLeast"/>
        <w:rPr>
          <w:rStyle w:val="eop"/>
          <w:rFonts w:asciiTheme="minorHAnsi" w:hAnsiTheme="minorHAnsi" w:cstheme="minorHAnsi"/>
          <w:color w:val="202122"/>
          <w:sz w:val="21"/>
          <w:szCs w:val="21"/>
        </w:rPr>
      </w:pPr>
      <w:r>
        <w:rPr>
          <w:rStyle w:val="eop"/>
          <w:rFonts w:asciiTheme="minorHAnsi" w:hAnsiTheme="minorHAnsi" w:cstheme="minorHAnsi"/>
          <w:color w:val="202122"/>
          <w:sz w:val="21"/>
          <w:szCs w:val="21"/>
        </w:rPr>
        <w:t>National Council of State Boards of Nursing</w:t>
      </w:r>
    </w:p>
    <w:p w14:paraId="36241385" w14:textId="0D9AF32E" w:rsidR="00C310E2" w:rsidRDefault="00C310E2" w:rsidP="00B86055">
      <w:pPr>
        <w:pStyle w:val="paragraph"/>
        <w:shd w:val="clear" w:color="auto" w:fill="FFFFFF"/>
        <w:spacing w:line="291" w:lineRule="atLeast"/>
        <w:rPr>
          <w:rStyle w:val="eop"/>
          <w:rFonts w:asciiTheme="minorHAnsi" w:hAnsiTheme="minorHAnsi" w:cstheme="minorHAnsi"/>
          <w:color w:val="202122"/>
          <w:sz w:val="21"/>
          <w:szCs w:val="21"/>
        </w:rPr>
      </w:pPr>
      <w:r>
        <w:rPr>
          <w:rStyle w:val="eop"/>
          <w:rFonts w:asciiTheme="minorHAnsi" w:hAnsiTheme="minorHAnsi" w:cstheme="minorHAnsi"/>
          <w:color w:val="202122"/>
          <w:sz w:val="21"/>
          <w:szCs w:val="21"/>
        </w:rPr>
        <w:t>National Forum of Nursing Workforce Centers</w:t>
      </w:r>
    </w:p>
    <w:p w14:paraId="3B2E01F9" w14:textId="594EA3FE" w:rsidR="00C310E2" w:rsidRDefault="00961B77" w:rsidP="00B86055">
      <w:pPr>
        <w:pStyle w:val="paragraph"/>
        <w:shd w:val="clear" w:color="auto" w:fill="FFFFFF"/>
        <w:spacing w:line="291" w:lineRule="atLeast"/>
        <w:rPr>
          <w:rStyle w:val="eop"/>
          <w:rFonts w:asciiTheme="minorHAnsi" w:hAnsiTheme="minorHAnsi" w:cstheme="minorHAnsi"/>
          <w:color w:val="202122"/>
          <w:sz w:val="21"/>
          <w:szCs w:val="21"/>
        </w:rPr>
      </w:pPr>
      <w:r>
        <w:rPr>
          <w:rStyle w:val="eop"/>
          <w:rFonts w:asciiTheme="minorHAnsi" w:hAnsiTheme="minorHAnsi" w:cstheme="minorHAnsi"/>
          <w:color w:val="202122"/>
          <w:sz w:val="21"/>
          <w:szCs w:val="21"/>
        </w:rPr>
        <w:t xml:space="preserve">National Education </w:t>
      </w:r>
      <w:r w:rsidR="00C810F1">
        <w:rPr>
          <w:rStyle w:val="eop"/>
          <w:rFonts w:asciiTheme="minorHAnsi" w:hAnsiTheme="minorHAnsi" w:cstheme="minorHAnsi"/>
          <w:color w:val="202122"/>
          <w:sz w:val="21"/>
          <w:szCs w:val="21"/>
        </w:rPr>
        <w:t>Progression In Nursing</w:t>
      </w:r>
    </w:p>
    <w:p w14:paraId="06199BC2" w14:textId="06B1AD4F" w:rsidR="001860BB" w:rsidRPr="002F4662" w:rsidRDefault="001860BB" w:rsidP="00B86055">
      <w:pPr>
        <w:pStyle w:val="paragraph"/>
        <w:shd w:val="clear" w:color="auto" w:fill="FFFFFF"/>
        <w:spacing w:line="291" w:lineRule="atLeast"/>
        <w:rPr>
          <w:rFonts w:asciiTheme="minorHAnsi" w:hAnsiTheme="minorHAnsi" w:cstheme="minorHAnsi"/>
          <w:sz w:val="18"/>
          <w:szCs w:val="18"/>
        </w:rPr>
      </w:pPr>
      <w:r>
        <w:rPr>
          <w:rStyle w:val="eop"/>
          <w:rFonts w:asciiTheme="minorHAnsi" w:hAnsiTheme="minorHAnsi" w:cstheme="minorHAnsi"/>
          <w:color w:val="202122"/>
          <w:sz w:val="21"/>
          <w:szCs w:val="21"/>
        </w:rPr>
        <w:t>National League for Nursing</w:t>
      </w:r>
    </w:p>
    <w:p w14:paraId="7FD88747" w14:textId="77777777" w:rsidR="00A20C36" w:rsidRPr="002F4662" w:rsidRDefault="00A20C36" w:rsidP="00212696">
      <w:pPr>
        <w:spacing w:after="0"/>
        <w:ind w:left="706" w:hanging="706"/>
        <w:rPr>
          <w:rFonts w:cstheme="minorHAnsi"/>
          <w:sz w:val="24"/>
          <w:szCs w:val="24"/>
        </w:rPr>
      </w:pPr>
    </w:p>
    <w:p w14:paraId="2A2A192B" w14:textId="78CFBDB6" w:rsidR="00696487" w:rsidRPr="005C018A" w:rsidRDefault="007D7051" w:rsidP="005C018A">
      <w:pPr>
        <w:pStyle w:val="Heading2"/>
        <w:rPr>
          <w:b/>
          <w:bCs/>
        </w:rPr>
        <w:sectPr w:rsidR="00696487" w:rsidRPr="005C018A">
          <w:endnotePr>
            <w:numFmt w:val="decimal"/>
          </w:endnotePr>
          <w:pgSz w:w="12240" w:h="15840"/>
          <w:pgMar w:top="1440" w:right="1440" w:bottom="1440" w:left="1440" w:header="720" w:footer="720" w:gutter="0"/>
          <w:cols w:space="720"/>
          <w:docGrid w:linePitch="360"/>
        </w:sectPr>
      </w:pPr>
      <w:r w:rsidRPr="005C018A">
        <w:rPr>
          <w:rFonts w:asciiTheme="minorHAnsi" w:hAnsiTheme="minorHAnsi" w:cstheme="minorHAnsi"/>
          <w:b/>
          <w:bCs/>
        </w:rPr>
        <w:t xml:space="preserve"> </w:t>
      </w:r>
    </w:p>
    <w:p w14:paraId="5C6C1A5E" w14:textId="5764F2BA" w:rsidR="00696487" w:rsidRDefault="00696487" w:rsidP="00696487">
      <w:r w:rsidRPr="005C018A">
        <w:rPr>
          <w:b/>
          <w:bCs/>
        </w:rPr>
        <w:lastRenderedPageBreak/>
        <w:t xml:space="preserve">The 5 Ws and the H of Teaching </w:t>
      </w:r>
      <w:r w:rsidR="008645BB" w:rsidRPr="005C018A">
        <w:rPr>
          <w:b/>
          <w:bCs/>
        </w:rPr>
        <w:t>Policy</w:t>
      </w:r>
      <w:r w:rsidR="008645BB">
        <w:t xml:space="preserve"> The</w:t>
      </w:r>
      <w:r w:rsidR="005C018A">
        <w:t xml:space="preserve"> 5 </w:t>
      </w:r>
      <w:proofErr w:type="spellStart"/>
      <w:r w:rsidR="005C018A">
        <w:t>Ws</w:t>
      </w:r>
      <w:proofErr w:type="spellEnd"/>
      <w:r w:rsidR="005C018A">
        <w:t xml:space="preserve"> and H Framework (Why, Who, What, When, Where, and How) provided below is intended to help faculty and students understand the various aspects of policy.  Faculty can use the 5Ws and H Framework to both analyze and set up the lesson activities related to any policy issue.</w:t>
      </w:r>
    </w:p>
    <w:tbl>
      <w:tblPr>
        <w:tblStyle w:val="TableGrid"/>
        <w:tblW w:w="5000" w:type="pct"/>
        <w:tblLook w:val="04A0" w:firstRow="1" w:lastRow="0" w:firstColumn="1" w:lastColumn="0" w:noHBand="0" w:noVBand="1"/>
      </w:tblPr>
      <w:tblGrid>
        <w:gridCol w:w="1976"/>
        <w:gridCol w:w="3204"/>
        <w:gridCol w:w="2590"/>
        <w:gridCol w:w="3025"/>
        <w:gridCol w:w="2155"/>
      </w:tblGrid>
      <w:tr w:rsidR="00696487" w14:paraId="7D964BA3" w14:textId="77777777" w:rsidTr="005C018A">
        <w:tc>
          <w:tcPr>
            <w:tcW w:w="763" w:type="pct"/>
          </w:tcPr>
          <w:p w14:paraId="3A3C7CE3" w14:textId="77777777" w:rsidR="00696487" w:rsidRDefault="00696487" w:rsidP="00666DF4">
            <w:r>
              <w:t>5 W’s and How</w:t>
            </w:r>
          </w:p>
        </w:tc>
        <w:tc>
          <w:tcPr>
            <w:tcW w:w="1237" w:type="pct"/>
          </w:tcPr>
          <w:p w14:paraId="3D8FEA28" w14:textId="77777777" w:rsidR="00696487" w:rsidRDefault="00696487" w:rsidP="00666DF4">
            <w:r>
              <w:t>Recommended content</w:t>
            </w:r>
          </w:p>
        </w:tc>
        <w:tc>
          <w:tcPr>
            <w:tcW w:w="1000" w:type="pct"/>
          </w:tcPr>
          <w:p w14:paraId="5516C444" w14:textId="77777777" w:rsidR="00696487" w:rsidRDefault="00696487" w:rsidP="00666DF4">
            <w:pPr>
              <w:tabs>
                <w:tab w:val="right" w:pos="2374"/>
              </w:tabs>
            </w:pPr>
            <w:r>
              <w:t>Resources</w:t>
            </w:r>
          </w:p>
        </w:tc>
        <w:tc>
          <w:tcPr>
            <w:tcW w:w="1168" w:type="pct"/>
          </w:tcPr>
          <w:p w14:paraId="65744655" w14:textId="77777777" w:rsidR="00696487" w:rsidRDefault="00696487" w:rsidP="00666DF4">
            <w:r>
              <w:t>Learning strategies</w:t>
            </w:r>
          </w:p>
        </w:tc>
        <w:tc>
          <w:tcPr>
            <w:tcW w:w="832" w:type="pct"/>
          </w:tcPr>
          <w:p w14:paraId="38BB1EB8" w14:textId="77777777" w:rsidR="00696487" w:rsidRDefault="00696487" w:rsidP="00666DF4">
            <w:r>
              <w:t>Assessment</w:t>
            </w:r>
          </w:p>
        </w:tc>
      </w:tr>
      <w:tr w:rsidR="00E019FC" w14:paraId="598777FD" w14:textId="77777777" w:rsidTr="005C018A">
        <w:tc>
          <w:tcPr>
            <w:tcW w:w="763" w:type="pct"/>
            <w:vMerge w:val="restart"/>
          </w:tcPr>
          <w:p w14:paraId="09E0A168" w14:textId="77777777" w:rsidR="00E019FC" w:rsidRDefault="00E019FC" w:rsidP="00666DF4">
            <w:r>
              <w:t>Why</w:t>
            </w:r>
          </w:p>
        </w:tc>
        <w:tc>
          <w:tcPr>
            <w:tcW w:w="1237" w:type="pct"/>
          </w:tcPr>
          <w:p w14:paraId="099CC98F" w14:textId="77777777" w:rsidR="00E019FC" w:rsidRDefault="00E019FC" w:rsidP="00696487">
            <w:pPr>
              <w:pStyle w:val="ListParagraph"/>
              <w:numPr>
                <w:ilvl w:val="0"/>
                <w:numId w:val="6"/>
              </w:numPr>
            </w:pPr>
            <w:r>
              <w:t>Why do we need to influence or make a change within a system, population, group, or community?</w:t>
            </w:r>
          </w:p>
        </w:tc>
        <w:tc>
          <w:tcPr>
            <w:tcW w:w="1000" w:type="pct"/>
          </w:tcPr>
          <w:p w14:paraId="5EED1DF5" w14:textId="77777777" w:rsidR="00E019FC" w:rsidRDefault="00E019FC" w:rsidP="00696487">
            <w:pPr>
              <w:pStyle w:val="ListParagraph"/>
              <w:numPr>
                <w:ilvl w:val="0"/>
                <w:numId w:val="6"/>
              </w:numPr>
            </w:pPr>
            <w:r>
              <w:t>CDC Policy Process (POLARIS) webpage</w:t>
            </w:r>
            <w:r>
              <w:rPr>
                <w:rStyle w:val="EndnoteReference"/>
              </w:rPr>
              <w:endnoteReference w:id="29"/>
            </w:r>
          </w:p>
          <w:p w14:paraId="49A323E2" w14:textId="77777777" w:rsidR="00E019FC" w:rsidRDefault="00E019FC" w:rsidP="00666DF4"/>
        </w:tc>
        <w:tc>
          <w:tcPr>
            <w:tcW w:w="1168" w:type="pct"/>
          </w:tcPr>
          <w:p w14:paraId="12A473D0" w14:textId="77777777" w:rsidR="00E019FC" w:rsidRDefault="00E019FC" w:rsidP="00696487">
            <w:pPr>
              <w:pStyle w:val="ListParagraph"/>
              <w:numPr>
                <w:ilvl w:val="0"/>
                <w:numId w:val="6"/>
              </w:numPr>
            </w:pPr>
            <w:r>
              <w:t>Conduct an overview of the policy process</w:t>
            </w:r>
          </w:p>
        </w:tc>
        <w:tc>
          <w:tcPr>
            <w:tcW w:w="832" w:type="pct"/>
          </w:tcPr>
          <w:p w14:paraId="49FBBCD1" w14:textId="77777777" w:rsidR="00E019FC" w:rsidRDefault="00E019FC" w:rsidP="00666DF4"/>
        </w:tc>
      </w:tr>
      <w:tr w:rsidR="00E019FC" w14:paraId="27318341" w14:textId="77777777" w:rsidTr="005C018A">
        <w:tc>
          <w:tcPr>
            <w:tcW w:w="763" w:type="pct"/>
            <w:vMerge/>
          </w:tcPr>
          <w:p w14:paraId="3D130B7D" w14:textId="77777777" w:rsidR="00E019FC" w:rsidRDefault="00E019FC" w:rsidP="00666DF4"/>
        </w:tc>
        <w:tc>
          <w:tcPr>
            <w:tcW w:w="1237" w:type="pct"/>
          </w:tcPr>
          <w:p w14:paraId="1EAC8770" w14:textId="77777777" w:rsidR="00E019FC" w:rsidRDefault="00E019FC" w:rsidP="00696487">
            <w:pPr>
              <w:pStyle w:val="ListParagraph"/>
              <w:numPr>
                <w:ilvl w:val="0"/>
                <w:numId w:val="6"/>
              </w:numPr>
            </w:pPr>
            <w:r>
              <w:t>Identify the policy problem</w:t>
            </w:r>
          </w:p>
        </w:tc>
        <w:tc>
          <w:tcPr>
            <w:tcW w:w="1000" w:type="pct"/>
          </w:tcPr>
          <w:p w14:paraId="5BD4A309" w14:textId="77777777" w:rsidR="00E019FC" w:rsidRDefault="00E019FC" w:rsidP="00696487">
            <w:pPr>
              <w:pStyle w:val="ListParagraph"/>
              <w:numPr>
                <w:ilvl w:val="0"/>
                <w:numId w:val="6"/>
              </w:numPr>
            </w:pPr>
            <w:r>
              <w:t>CDC POLARIS Problem Identification</w:t>
            </w:r>
            <w:r>
              <w:rPr>
                <w:rStyle w:val="EndnoteReference"/>
              </w:rPr>
              <w:endnoteReference w:id="30"/>
            </w:r>
          </w:p>
        </w:tc>
        <w:tc>
          <w:tcPr>
            <w:tcW w:w="1168" w:type="pct"/>
          </w:tcPr>
          <w:p w14:paraId="077F77D3" w14:textId="77777777" w:rsidR="00E019FC" w:rsidRDefault="00E019FC" w:rsidP="00696487">
            <w:pPr>
              <w:pStyle w:val="ListParagraph"/>
              <w:numPr>
                <w:ilvl w:val="0"/>
                <w:numId w:val="6"/>
              </w:numPr>
            </w:pPr>
            <w:r>
              <w:t>Conduct an environmental scan</w:t>
            </w:r>
          </w:p>
          <w:p w14:paraId="40248E2D" w14:textId="77777777" w:rsidR="00E019FC" w:rsidRDefault="00E019FC" w:rsidP="00696487">
            <w:pPr>
              <w:pStyle w:val="ListParagraph"/>
              <w:numPr>
                <w:ilvl w:val="0"/>
                <w:numId w:val="6"/>
              </w:numPr>
            </w:pPr>
            <w:r>
              <w:t>Conduct a literature review (academic and lay presses)</w:t>
            </w:r>
          </w:p>
        </w:tc>
        <w:tc>
          <w:tcPr>
            <w:tcW w:w="832" w:type="pct"/>
          </w:tcPr>
          <w:p w14:paraId="556F3AD9" w14:textId="77777777" w:rsidR="00E019FC" w:rsidRDefault="00E019FC" w:rsidP="00666DF4"/>
        </w:tc>
      </w:tr>
      <w:tr w:rsidR="00E019FC" w14:paraId="6BF8C42F" w14:textId="77777777" w:rsidTr="005C018A">
        <w:tc>
          <w:tcPr>
            <w:tcW w:w="763" w:type="pct"/>
            <w:vMerge w:val="restart"/>
          </w:tcPr>
          <w:p w14:paraId="31852816" w14:textId="77777777" w:rsidR="00E019FC" w:rsidRDefault="00E019FC" w:rsidP="00666DF4">
            <w:r>
              <w:t>What</w:t>
            </w:r>
          </w:p>
        </w:tc>
        <w:tc>
          <w:tcPr>
            <w:tcW w:w="1237" w:type="pct"/>
          </w:tcPr>
          <w:p w14:paraId="5C5F94CE" w14:textId="77777777" w:rsidR="00E019FC" w:rsidRDefault="00E019FC" w:rsidP="00696487">
            <w:pPr>
              <w:pStyle w:val="ListParagraph"/>
              <w:numPr>
                <w:ilvl w:val="0"/>
                <w:numId w:val="6"/>
              </w:numPr>
            </w:pPr>
            <w:r>
              <w:t>Understanding the levels of policy</w:t>
            </w:r>
          </w:p>
        </w:tc>
        <w:tc>
          <w:tcPr>
            <w:tcW w:w="1000" w:type="pct"/>
          </w:tcPr>
          <w:p w14:paraId="59DC813F" w14:textId="77777777" w:rsidR="00E019FC" w:rsidRDefault="00E019FC" w:rsidP="00696487">
            <w:pPr>
              <w:pStyle w:val="ListParagraph"/>
              <w:numPr>
                <w:ilvl w:val="0"/>
                <w:numId w:val="6"/>
              </w:numPr>
            </w:pPr>
            <w:r>
              <w:t>Russell &amp; Fawcett</w:t>
            </w:r>
          </w:p>
        </w:tc>
        <w:tc>
          <w:tcPr>
            <w:tcW w:w="1168" w:type="pct"/>
          </w:tcPr>
          <w:p w14:paraId="7B5722A1" w14:textId="77777777" w:rsidR="00E019FC" w:rsidRDefault="00E019FC" w:rsidP="00696487">
            <w:pPr>
              <w:pStyle w:val="ListParagraph"/>
              <w:numPr>
                <w:ilvl w:val="0"/>
                <w:numId w:val="8"/>
              </w:numPr>
            </w:pPr>
            <w:r>
              <w:t>Analyze at what Russell &amp; Fawcett levels different policy initiatives have been or can be initiated related to the problem.</w:t>
            </w:r>
          </w:p>
          <w:p w14:paraId="58D86509" w14:textId="77777777" w:rsidR="00E019FC" w:rsidRDefault="00E019FC" w:rsidP="00696487">
            <w:pPr>
              <w:pStyle w:val="ListParagraph"/>
              <w:numPr>
                <w:ilvl w:val="0"/>
                <w:numId w:val="6"/>
              </w:numPr>
            </w:pPr>
            <w:r>
              <w:t xml:space="preserve">Describe the effect of how a policy change at one level has an effect on the other levels.  What can or should be done as a result, if any?  </w:t>
            </w:r>
          </w:p>
        </w:tc>
        <w:tc>
          <w:tcPr>
            <w:tcW w:w="832" w:type="pct"/>
          </w:tcPr>
          <w:p w14:paraId="00A8EF80" w14:textId="77777777" w:rsidR="00E019FC" w:rsidRDefault="00E019FC" w:rsidP="00666DF4"/>
        </w:tc>
      </w:tr>
      <w:tr w:rsidR="00E019FC" w14:paraId="24E09A36" w14:textId="77777777" w:rsidTr="005C018A">
        <w:tc>
          <w:tcPr>
            <w:tcW w:w="763" w:type="pct"/>
            <w:vMerge/>
          </w:tcPr>
          <w:p w14:paraId="418B323E" w14:textId="77777777" w:rsidR="00E019FC" w:rsidRDefault="00E019FC" w:rsidP="00666DF4"/>
        </w:tc>
        <w:tc>
          <w:tcPr>
            <w:tcW w:w="1237" w:type="pct"/>
          </w:tcPr>
          <w:p w14:paraId="14133A96" w14:textId="77777777" w:rsidR="00E019FC" w:rsidRDefault="00E019FC" w:rsidP="00696487">
            <w:pPr>
              <w:pStyle w:val="ListParagraph"/>
              <w:numPr>
                <w:ilvl w:val="0"/>
                <w:numId w:val="6"/>
              </w:numPr>
            </w:pPr>
            <w:r>
              <w:t>Understand overview of policy strategy</w:t>
            </w:r>
          </w:p>
        </w:tc>
        <w:tc>
          <w:tcPr>
            <w:tcW w:w="1000" w:type="pct"/>
          </w:tcPr>
          <w:p w14:paraId="40BB3999" w14:textId="77777777" w:rsidR="00E019FC" w:rsidRDefault="00E019FC" w:rsidP="00696487">
            <w:pPr>
              <w:pStyle w:val="ListParagraph"/>
              <w:numPr>
                <w:ilvl w:val="0"/>
                <w:numId w:val="6"/>
              </w:numPr>
            </w:pPr>
            <w:r>
              <w:t>CDC POLARIS Strategy and Policy Development</w:t>
            </w:r>
            <w:r>
              <w:rPr>
                <w:rStyle w:val="EndnoteReference"/>
              </w:rPr>
              <w:endnoteReference w:id="31"/>
            </w:r>
          </w:p>
        </w:tc>
        <w:tc>
          <w:tcPr>
            <w:tcW w:w="1168" w:type="pct"/>
          </w:tcPr>
          <w:p w14:paraId="699D89C2" w14:textId="77777777" w:rsidR="00E019FC" w:rsidRDefault="00E019FC" w:rsidP="00696487">
            <w:pPr>
              <w:pStyle w:val="ListParagraph"/>
              <w:numPr>
                <w:ilvl w:val="0"/>
                <w:numId w:val="6"/>
              </w:numPr>
            </w:pPr>
            <w:r>
              <w:t>Review the CDC Policy Process</w:t>
            </w:r>
          </w:p>
        </w:tc>
        <w:tc>
          <w:tcPr>
            <w:tcW w:w="832" w:type="pct"/>
          </w:tcPr>
          <w:p w14:paraId="5BBAB5E3" w14:textId="77777777" w:rsidR="00E019FC" w:rsidRDefault="00E019FC" w:rsidP="00666DF4"/>
        </w:tc>
      </w:tr>
      <w:tr w:rsidR="00696487" w14:paraId="0134EC5D" w14:textId="77777777" w:rsidTr="005C018A">
        <w:trPr>
          <w:cantSplit/>
        </w:trPr>
        <w:tc>
          <w:tcPr>
            <w:tcW w:w="763" w:type="pct"/>
          </w:tcPr>
          <w:p w14:paraId="5788CDCD" w14:textId="77777777" w:rsidR="00696487" w:rsidRDefault="00696487" w:rsidP="00666DF4">
            <w:r>
              <w:t>Where</w:t>
            </w:r>
          </w:p>
        </w:tc>
        <w:tc>
          <w:tcPr>
            <w:tcW w:w="1237" w:type="pct"/>
          </w:tcPr>
          <w:p w14:paraId="364C168D" w14:textId="77777777" w:rsidR="00696487" w:rsidRDefault="00696487" w:rsidP="00696487">
            <w:pPr>
              <w:pStyle w:val="ListParagraph"/>
              <w:numPr>
                <w:ilvl w:val="0"/>
                <w:numId w:val="6"/>
              </w:numPr>
            </w:pPr>
            <w:r>
              <w:t>Understanding the appropriate level of policy intervention such as the local, regional, statewide, national, federal, international levels.</w:t>
            </w:r>
          </w:p>
        </w:tc>
        <w:tc>
          <w:tcPr>
            <w:tcW w:w="1000" w:type="pct"/>
          </w:tcPr>
          <w:p w14:paraId="2009FA56" w14:textId="77777777" w:rsidR="00696487" w:rsidRDefault="00696487" w:rsidP="00696487">
            <w:pPr>
              <w:pStyle w:val="ListParagraph"/>
              <w:numPr>
                <w:ilvl w:val="0"/>
                <w:numId w:val="6"/>
              </w:numPr>
            </w:pPr>
            <w:r>
              <w:t>Russell &amp; Fawcett Policy Levels</w:t>
            </w:r>
          </w:p>
        </w:tc>
        <w:tc>
          <w:tcPr>
            <w:tcW w:w="1168" w:type="pct"/>
          </w:tcPr>
          <w:p w14:paraId="39D58A49" w14:textId="503648AD" w:rsidR="00696487" w:rsidRDefault="00696487" w:rsidP="00696487">
            <w:pPr>
              <w:pStyle w:val="ListParagraph"/>
              <w:numPr>
                <w:ilvl w:val="0"/>
                <w:numId w:val="6"/>
              </w:numPr>
            </w:pPr>
            <w:r>
              <w:t>Describe the need at all</w:t>
            </w:r>
            <w:r w:rsidR="008645BB">
              <w:t xml:space="preserve"> </w:t>
            </w:r>
            <w:r>
              <w:t>Russell &amp; Fawcett levels to understand the full extent of a change in policy, and then determine at which level should be the first step in changing policy</w:t>
            </w:r>
          </w:p>
        </w:tc>
        <w:tc>
          <w:tcPr>
            <w:tcW w:w="832" w:type="pct"/>
          </w:tcPr>
          <w:p w14:paraId="5026F294" w14:textId="77777777" w:rsidR="00696487" w:rsidRDefault="00696487" w:rsidP="00666DF4"/>
        </w:tc>
      </w:tr>
      <w:tr w:rsidR="00696487" w14:paraId="2A7AC0CF" w14:textId="77777777" w:rsidTr="005C018A">
        <w:tc>
          <w:tcPr>
            <w:tcW w:w="763" w:type="pct"/>
          </w:tcPr>
          <w:p w14:paraId="665C6208" w14:textId="77777777" w:rsidR="00696487" w:rsidRDefault="00696487" w:rsidP="00666DF4">
            <w:r>
              <w:lastRenderedPageBreak/>
              <w:t>When</w:t>
            </w:r>
          </w:p>
        </w:tc>
        <w:tc>
          <w:tcPr>
            <w:tcW w:w="1237" w:type="pct"/>
          </w:tcPr>
          <w:p w14:paraId="0129BA3B" w14:textId="77777777" w:rsidR="00696487" w:rsidRDefault="00696487" w:rsidP="00696487">
            <w:pPr>
              <w:pStyle w:val="ListParagraph"/>
              <w:numPr>
                <w:ilvl w:val="0"/>
                <w:numId w:val="6"/>
              </w:numPr>
            </w:pPr>
            <w:r>
              <w:t>Understanding opening policy windows</w:t>
            </w:r>
          </w:p>
        </w:tc>
        <w:tc>
          <w:tcPr>
            <w:tcW w:w="1000" w:type="pct"/>
          </w:tcPr>
          <w:p w14:paraId="38DA28E6" w14:textId="77777777" w:rsidR="00696487" w:rsidRDefault="00696487" w:rsidP="00696487">
            <w:pPr>
              <w:pStyle w:val="ListParagraph"/>
              <w:numPr>
                <w:ilvl w:val="0"/>
                <w:numId w:val="6"/>
              </w:numPr>
            </w:pPr>
            <w:r>
              <w:t>Kingdon Policy Streams</w:t>
            </w:r>
          </w:p>
        </w:tc>
        <w:tc>
          <w:tcPr>
            <w:tcW w:w="1168" w:type="pct"/>
          </w:tcPr>
          <w:p w14:paraId="245FD3A1" w14:textId="77777777" w:rsidR="00696487" w:rsidRDefault="00696487" w:rsidP="00696487">
            <w:pPr>
              <w:pStyle w:val="ListParagraph"/>
              <w:numPr>
                <w:ilvl w:val="0"/>
                <w:numId w:val="6"/>
              </w:numPr>
            </w:pPr>
            <w:r>
              <w:t>Using Kindon’s Policy Streams theory, describe the concept of timing from a temporal, current events, and other window opportunities to have the most successful change of changing or implementing a new policy</w:t>
            </w:r>
          </w:p>
        </w:tc>
        <w:tc>
          <w:tcPr>
            <w:tcW w:w="832" w:type="pct"/>
          </w:tcPr>
          <w:p w14:paraId="0B467ECA" w14:textId="77777777" w:rsidR="00696487" w:rsidRDefault="00696487" w:rsidP="00666DF4"/>
        </w:tc>
      </w:tr>
      <w:tr w:rsidR="00E019FC" w14:paraId="007F4975" w14:textId="77777777" w:rsidTr="005C018A">
        <w:tc>
          <w:tcPr>
            <w:tcW w:w="763" w:type="pct"/>
            <w:vMerge w:val="restart"/>
          </w:tcPr>
          <w:p w14:paraId="42438C3B" w14:textId="77777777" w:rsidR="00E019FC" w:rsidRDefault="00E019FC" w:rsidP="00666DF4">
            <w:r>
              <w:t>Who</w:t>
            </w:r>
          </w:p>
        </w:tc>
        <w:tc>
          <w:tcPr>
            <w:tcW w:w="1237" w:type="pct"/>
          </w:tcPr>
          <w:p w14:paraId="346794C4" w14:textId="77777777" w:rsidR="00E019FC" w:rsidRDefault="00E019FC" w:rsidP="00696487">
            <w:pPr>
              <w:pStyle w:val="ListParagraph"/>
              <w:numPr>
                <w:ilvl w:val="0"/>
                <w:numId w:val="6"/>
              </w:numPr>
            </w:pPr>
            <w:r>
              <w:t>Identifying the “pro” and “con” stakeholders and the public.</w:t>
            </w:r>
          </w:p>
        </w:tc>
        <w:tc>
          <w:tcPr>
            <w:tcW w:w="1000" w:type="pct"/>
          </w:tcPr>
          <w:p w14:paraId="04C2FB2C" w14:textId="77777777" w:rsidR="00E019FC" w:rsidRDefault="00E019FC" w:rsidP="00666DF4"/>
        </w:tc>
        <w:tc>
          <w:tcPr>
            <w:tcW w:w="1168" w:type="pct"/>
          </w:tcPr>
          <w:p w14:paraId="472A83E7" w14:textId="77777777" w:rsidR="00E019FC" w:rsidRDefault="00E019FC" w:rsidP="00696487">
            <w:pPr>
              <w:pStyle w:val="ListParagraph"/>
              <w:numPr>
                <w:ilvl w:val="0"/>
                <w:numId w:val="6"/>
              </w:numPr>
            </w:pPr>
            <w:r>
              <w:t>Environmental scan</w:t>
            </w:r>
          </w:p>
          <w:p w14:paraId="4513023E" w14:textId="77777777" w:rsidR="00E019FC" w:rsidRDefault="00E019FC" w:rsidP="00696487">
            <w:pPr>
              <w:pStyle w:val="ListParagraph"/>
              <w:numPr>
                <w:ilvl w:val="0"/>
                <w:numId w:val="6"/>
              </w:numPr>
            </w:pPr>
            <w:r>
              <w:t>Brainstorming who would be positively and negatively affected</w:t>
            </w:r>
          </w:p>
        </w:tc>
        <w:tc>
          <w:tcPr>
            <w:tcW w:w="832" w:type="pct"/>
          </w:tcPr>
          <w:p w14:paraId="0549EFC0" w14:textId="77777777" w:rsidR="00E019FC" w:rsidRDefault="00E019FC" w:rsidP="00666DF4"/>
        </w:tc>
      </w:tr>
      <w:tr w:rsidR="00E019FC" w14:paraId="1FB82044" w14:textId="77777777" w:rsidTr="005C018A">
        <w:trPr>
          <w:cantSplit/>
        </w:trPr>
        <w:tc>
          <w:tcPr>
            <w:tcW w:w="763" w:type="pct"/>
            <w:vMerge/>
          </w:tcPr>
          <w:p w14:paraId="2E31C387" w14:textId="77777777" w:rsidR="00E019FC" w:rsidRDefault="00E019FC" w:rsidP="00666DF4"/>
        </w:tc>
        <w:tc>
          <w:tcPr>
            <w:tcW w:w="1237" w:type="pct"/>
          </w:tcPr>
          <w:p w14:paraId="4626EA76" w14:textId="77777777" w:rsidR="00E019FC" w:rsidRDefault="00E019FC" w:rsidP="00696487">
            <w:pPr>
              <w:pStyle w:val="ListParagraph"/>
              <w:numPr>
                <w:ilvl w:val="0"/>
                <w:numId w:val="6"/>
              </w:numPr>
            </w:pPr>
            <w:r>
              <w:t>Who has the formal and informal power, authority, and influence that can help drive or block policy development?</w:t>
            </w:r>
          </w:p>
        </w:tc>
        <w:tc>
          <w:tcPr>
            <w:tcW w:w="1000" w:type="pct"/>
          </w:tcPr>
          <w:p w14:paraId="5DFD7CBB" w14:textId="77777777" w:rsidR="00E019FC" w:rsidRDefault="00E019FC" w:rsidP="00696487">
            <w:pPr>
              <w:pStyle w:val="ListParagraph"/>
              <w:numPr>
                <w:ilvl w:val="0"/>
                <w:numId w:val="6"/>
              </w:numPr>
            </w:pPr>
            <w:r>
              <w:t>Lewin’s Force Field Analysis</w:t>
            </w:r>
          </w:p>
        </w:tc>
        <w:tc>
          <w:tcPr>
            <w:tcW w:w="1168" w:type="pct"/>
          </w:tcPr>
          <w:p w14:paraId="60A6FB95" w14:textId="77777777" w:rsidR="00E019FC" w:rsidRDefault="00E019FC" w:rsidP="00696487">
            <w:pPr>
              <w:pStyle w:val="ListParagraph"/>
              <w:numPr>
                <w:ilvl w:val="0"/>
                <w:numId w:val="6"/>
              </w:numPr>
            </w:pPr>
            <w:r>
              <w:t>Use Lewin’s Force Field Analysis to understand the driving and restraining forces and identify sources of power, authority, and influence</w:t>
            </w:r>
          </w:p>
        </w:tc>
        <w:tc>
          <w:tcPr>
            <w:tcW w:w="832" w:type="pct"/>
          </w:tcPr>
          <w:p w14:paraId="010E6151" w14:textId="77777777" w:rsidR="00E019FC" w:rsidRDefault="00E019FC" w:rsidP="00666DF4"/>
        </w:tc>
      </w:tr>
      <w:tr w:rsidR="00E019FC" w14:paraId="026A167F" w14:textId="77777777" w:rsidTr="005C018A">
        <w:tc>
          <w:tcPr>
            <w:tcW w:w="763" w:type="pct"/>
            <w:vMerge/>
          </w:tcPr>
          <w:p w14:paraId="75BAA140" w14:textId="77777777" w:rsidR="00E019FC" w:rsidRDefault="00E019FC" w:rsidP="00666DF4"/>
        </w:tc>
        <w:tc>
          <w:tcPr>
            <w:tcW w:w="1237" w:type="pct"/>
          </w:tcPr>
          <w:p w14:paraId="13C903B5" w14:textId="77777777" w:rsidR="00E019FC" w:rsidRDefault="00E019FC" w:rsidP="00696487">
            <w:pPr>
              <w:pStyle w:val="ListParagraph"/>
              <w:numPr>
                <w:ilvl w:val="0"/>
                <w:numId w:val="6"/>
              </w:numPr>
            </w:pPr>
            <w:r>
              <w:t>Understanding all perspectives and rationales.</w:t>
            </w:r>
          </w:p>
        </w:tc>
        <w:tc>
          <w:tcPr>
            <w:tcW w:w="1000" w:type="pct"/>
          </w:tcPr>
          <w:p w14:paraId="21A004C2" w14:textId="77777777" w:rsidR="00E019FC" w:rsidRDefault="00E019FC" w:rsidP="00696487">
            <w:pPr>
              <w:pStyle w:val="ListParagraph"/>
              <w:numPr>
                <w:ilvl w:val="0"/>
                <w:numId w:val="6"/>
              </w:numPr>
            </w:pPr>
            <w:r>
              <w:t>CDC Policy Analysis</w:t>
            </w:r>
            <w:r>
              <w:rPr>
                <w:rStyle w:val="EndnoteReference"/>
              </w:rPr>
              <w:endnoteReference w:id="32"/>
            </w:r>
            <w:r>
              <w:t xml:space="preserve"> webpage</w:t>
            </w:r>
          </w:p>
        </w:tc>
        <w:tc>
          <w:tcPr>
            <w:tcW w:w="1168" w:type="pct"/>
          </w:tcPr>
          <w:p w14:paraId="12E33D54" w14:textId="77777777" w:rsidR="00E019FC" w:rsidRDefault="00E019FC" w:rsidP="00696487">
            <w:pPr>
              <w:pStyle w:val="ListParagraph"/>
              <w:numPr>
                <w:ilvl w:val="0"/>
                <w:numId w:val="6"/>
              </w:numPr>
            </w:pPr>
            <w:r>
              <w:t>Debates</w:t>
            </w:r>
          </w:p>
          <w:p w14:paraId="32B4717E" w14:textId="77777777" w:rsidR="00E019FC" w:rsidRDefault="00E019FC" w:rsidP="00696487">
            <w:pPr>
              <w:pStyle w:val="ListParagraph"/>
              <w:numPr>
                <w:ilvl w:val="0"/>
                <w:numId w:val="6"/>
              </w:numPr>
            </w:pPr>
            <w:r>
              <w:t>Policy analysis</w:t>
            </w:r>
          </w:p>
        </w:tc>
        <w:tc>
          <w:tcPr>
            <w:tcW w:w="832" w:type="pct"/>
          </w:tcPr>
          <w:p w14:paraId="4F72CE88" w14:textId="77777777" w:rsidR="00E019FC" w:rsidRDefault="00E019FC" w:rsidP="00666DF4"/>
        </w:tc>
      </w:tr>
      <w:tr w:rsidR="00E019FC" w14:paraId="5C1DA075" w14:textId="77777777" w:rsidTr="005C018A">
        <w:tc>
          <w:tcPr>
            <w:tcW w:w="763" w:type="pct"/>
            <w:vMerge/>
          </w:tcPr>
          <w:p w14:paraId="3AEDA682" w14:textId="77777777" w:rsidR="00E019FC" w:rsidRDefault="00E019FC" w:rsidP="00666DF4"/>
        </w:tc>
        <w:tc>
          <w:tcPr>
            <w:tcW w:w="1237" w:type="pct"/>
          </w:tcPr>
          <w:p w14:paraId="4A198EB0" w14:textId="77777777" w:rsidR="00E019FC" w:rsidRDefault="00E019FC" w:rsidP="00696487">
            <w:pPr>
              <w:pStyle w:val="ListParagraph"/>
              <w:numPr>
                <w:ilvl w:val="0"/>
                <w:numId w:val="6"/>
              </w:numPr>
            </w:pPr>
            <w:r>
              <w:t>Methods of communicating with stakeholders and the public.</w:t>
            </w:r>
          </w:p>
        </w:tc>
        <w:tc>
          <w:tcPr>
            <w:tcW w:w="1000" w:type="pct"/>
          </w:tcPr>
          <w:p w14:paraId="5183CF07" w14:textId="77777777" w:rsidR="00E019FC" w:rsidRDefault="00E019FC" w:rsidP="00666DF4"/>
        </w:tc>
        <w:tc>
          <w:tcPr>
            <w:tcW w:w="1168" w:type="pct"/>
          </w:tcPr>
          <w:p w14:paraId="48AA1842" w14:textId="77777777" w:rsidR="00E019FC" w:rsidRDefault="00E019FC" w:rsidP="00696487">
            <w:pPr>
              <w:pStyle w:val="ListParagraph"/>
              <w:numPr>
                <w:ilvl w:val="0"/>
                <w:numId w:val="6"/>
              </w:numPr>
            </w:pPr>
            <w:r>
              <w:t>Policy briefs, policy analyses, editorials, position papers, media sound bites, social media, press conferences, public speaking</w:t>
            </w:r>
          </w:p>
        </w:tc>
        <w:tc>
          <w:tcPr>
            <w:tcW w:w="832" w:type="pct"/>
          </w:tcPr>
          <w:p w14:paraId="40717837" w14:textId="77777777" w:rsidR="00E019FC" w:rsidRDefault="00E019FC" w:rsidP="00666DF4"/>
        </w:tc>
      </w:tr>
      <w:tr w:rsidR="00696487" w14:paraId="4CC6CF7E" w14:textId="77777777" w:rsidTr="005C018A">
        <w:tc>
          <w:tcPr>
            <w:tcW w:w="763" w:type="pct"/>
          </w:tcPr>
          <w:p w14:paraId="77A19778" w14:textId="77777777" w:rsidR="00696487" w:rsidRDefault="00696487" w:rsidP="00666DF4">
            <w:r>
              <w:t>How</w:t>
            </w:r>
          </w:p>
        </w:tc>
        <w:tc>
          <w:tcPr>
            <w:tcW w:w="1237" w:type="pct"/>
          </w:tcPr>
          <w:p w14:paraId="0D3CD72D" w14:textId="77777777" w:rsidR="00696487" w:rsidRDefault="00696487" w:rsidP="00696487">
            <w:pPr>
              <w:pStyle w:val="ListParagraph"/>
              <w:numPr>
                <w:ilvl w:val="0"/>
                <w:numId w:val="7"/>
              </w:numPr>
            </w:pPr>
            <w:r>
              <w:t>Enact the policy</w:t>
            </w:r>
          </w:p>
          <w:p w14:paraId="72178122" w14:textId="77777777" w:rsidR="00696487" w:rsidRDefault="00696487" w:rsidP="00696487">
            <w:pPr>
              <w:pStyle w:val="ListParagraph"/>
              <w:numPr>
                <w:ilvl w:val="0"/>
                <w:numId w:val="7"/>
              </w:numPr>
            </w:pPr>
            <w:r>
              <w:t>Implement the policy</w:t>
            </w:r>
          </w:p>
        </w:tc>
        <w:tc>
          <w:tcPr>
            <w:tcW w:w="1000" w:type="pct"/>
          </w:tcPr>
          <w:p w14:paraId="0AC1E081" w14:textId="77777777" w:rsidR="00696487" w:rsidRDefault="00696487" w:rsidP="00696487">
            <w:pPr>
              <w:pStyle w:val="ListParagraph"/>
              <w:numPr>
                <w:ilvl w:val="0"/>
                <w:numId w:val="7"/>
              </w:numPr>
            </w:pPr>
            <w:r>
              <w:t>CDC POLARIS Policy Enactment</w:t>
            </w:r>
            <w:r>
              <w:rPr>
                <w:rStyle w:val="EndnoteReference"/>
              </w:rPr>
              <w:endnoteReference w:id="33"/>
            </w:r>
          </w:p>
          <w:p w14:paraId="4ACE5EBF" w14:textId="77777777" w:rsidR="00696487" w:rsidRDefault="00696487" w:rsidP="00696487">
            <w:pPr>
              <w:pStyle w:val="ListParagraph"/>
              <w:numPr>
                <w:ilvl w:val="0"/>
                <w:numId w:val="7"/>
              </w:numPr>
            </w:pPr>
            <w:r>
              <w:t>CDC POLARIS Policy Implementation</w:t>
            </w:r>
            <w:r>
              <w:rPr>
                <w:rStyle w:val="EndnoteReference"/>
              </w:rPr>
              <w:endnoteReference w:id="34"/>
            </w:r>
          </w:p>
          <w:p w14:paraId="6A15B3D4" w14:textId="77777777" w:rsidR="00696487" w:rsidRDefault="00696487" w:rsidP="00696487">
            <w:pPr>
              <w:pStyle w:val="ListParagraph"/>
              <w:numPr>
                <w:ilvl w:val="0"/>
                <w:numId w:val="7"/>
              </w:numPr>
            </w:pPr>
            <w:r>
              <w:t>Rogers’ Diffusion of Innovation Theory</w:t>
            </w:r>
          </w:p>
        </w:tc>
        <w:tc>
          <w:tcPr>
            <w:tcW w:w="1168" w:type="pct"/>
          </w:tcPr>
          <w:p w14:paraId="5DA0C22D" w14:textId="77777777" w:rsidR="00696487" w:rsidRDefault="00696487" w:rsidP="00696487">
            <w:pPr>
              <w:pStyle w:val="ListParagraph"/>
              <w:numPr>
                <w:ilvl w:val="0"/>
                <w:numId w:val="7"/>
              </w:numPr>
            </w:pPr>
            <w:r>
              <w:t>Using the POLARIS strategies and Rogers’ Diffusion of Innovation theory, describe how policy will be enacted and implemented</w:t>
            </w:r>
          </w:p>
        </w:tc>
        <w:tc>
          <w:tcPr>
            <w:tcW w:w="832" w:type="pct"/>
          </w:tcPr>
          <w:p w14:paraId="7B462358" w14:textId="77777777" w:rsidR="00696487" w:rsidRDefault="00696487" w:rsidP="00666DF4"/>
        </w:tc>
      </w:tr>
    </w:tbl>
    <w:p w14:paraId="0212FD9A" w14:textId="77777777" w:rsidR="00696487" w:rsidRDefault="00696487" w:rsidP="00696487"/>
    <w:p w14:paraId="1CC00FF4" w14:textId="77777777" w:rsidR="00696487" w:rsidRPr="00696487" w:rsidRDefault="00696487" w:rsidP="00696487">
      <w:pPr>
        <w:spacing w:after="0"/>
      </w:pPr>
    </w:p>
    <w:p w14:paraId="064422C9" w14:textId="77777777" w:rsidR="00B500F1" w:rsidRDefault="00C70C6E">
      <w:pPr>
        <w:rPr>
          <w:b/>
          <w:bCs/>
        </w:rPr>
        <w:sectPr w:rsidR="00B500F1" w:rsidSect="00D0211F">
          <w:endnotePr>
            <w:numFmt w:val="decimal"/>
          </w:endnotePr>
          <w:pgSz w:w="15840" w:h="12240" w:orient="landscape"/>
          <w:pgMar w:top="1440" w:right="1440" w:bottom="1440" w:left="1440" w:header="720" w:footer="720" w:gutter="0"/>
          <w:cols w:space="720"/>
          <w:docGrid w:linePitch="360"/>
        </w:sectPr>
      </w:pPr>
      <w:r>
        <w:rPr>
          <w:b/>
          <w:bCs/>
        </w:rPr>
        <w:br w:type="page"/>
      </w:r>
    </w:p>
    <w:p w14:paraId="4FEABBD0" w14:textId="7C7742A1" w:rsidR="00C70C6E" w:rsidRDefault="00C70C6E">
      <w:pPr>
        <w:rPr>
          <w:b/>
          <w:bCs/>
        </w:rPr>
      </w:pPr>
    </w:p>
    <w:p w14:paraId="0C34D420" w14:textId="2C72EC94" w:rsidR="0036240E" w:rsidRPr="00D4043E" w:rsidRDefault="0036240E" w:rsidP="0036240E">
      <w:pPr>
        <w:jc w:val="center"/>
        <w:rPr>
          <w:b/>
          <w:bCs/>
        </w:rPr>
      </w:pPr>
      <w:r w:rsidRPr="00D4043E">
        <w:rPr>
          <w:b/>
          <w:bCs/>
        </w:rPr>
        <w:t>References</w:t>
      </w:r>
    </w:p>
    <w:p w14:paraId="7B28745E" w14:textId="32B2463B" w:rsidR="00ED1676" w:rsidRDefault="00ED1676" w:rsidP="00683CAD"/>
    <w:sectPr w:rsidR="00ED1676" w:rsidSect="00DE32C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4DB0" w14:textId="77777777" w:rsidR="008060FA" w:rsidRDefault="008060FA" w:rsidP="00BA49B5">
      <w:pPr>
        <w:spacing w:after="0" w:line="240" w:lineRule="auto"/>
      </w:pPr>
      <w:r>
        <w:separator/>
      </w:r>
    </w:p>
  </w:endnote>
  <w:endnote w:type="continuationSeparator" w:id="0">
    <w:p w14:paraId="449ADC73" w14:textId="77777777" w:rsidR="008060FA" w:rsidRDefault="008060FA" w:rsidP="00BA49B5">
      <w:pPr>
        <w:spacing w:after="0" w:line="240" w:lineRule="auto"/>
      </w:pPr>
      <w:r>
        <w:continuationSeparator/>
      </w:r>
    </w:p>
  </w:endnote>
  <w:endnote w:id="1">
    <w:p w14:paraId="4E057B0A" w14:textId="2FB6FEAD" w:rsidR="00262B6F" w:rsidRDefault="00262B6F" w:rsidP="00E019FC">
      <w:pPr>
        <w:spacing w:after="0"/>
      </w:pPr>
      <w:r>
        <w:rPr>
          <w:rStyle w:val="EndnoteReference"/>
        </w:rPr>
        <w:endnoteRef/>
      </w:r>
      <w:r>
        <w:t xml:space="preserve"> </w:t>
      </w:r>
      <w:r w:rsidRPr="007B5A19">
        <w:t xml:space="preserve">Agency for Healthcare Research and Quality. (2018). Six Domains of Health Care Quality. Retrieved from </w:t>
      </w:r>
      <w:hyperlink r:id="rId1" w:history="1">
        <w:r w:rsidRPr="00C661A4">
          <w:rPr>
            <w:rStyle w:val="Hyperlink"/>
          </w:rPr>
          <w:t>https://www.ahrq.gov/talkingquality/measures/six-domains.html</w:t>
        </w:r>
      </w:hyperlink>
      <w:r>
        <w:t xml:space="preserve"> </w:t>
      </w:r>
    </w:p>
  </w:endnote>
  <w:endnote w:id="2">
    <w:p w14:paraId="3E782FDC" w14:textId="6BC29FF6" w:rsidR="00A83F45" w:rsidRPr="00A83F45" w:rsidRDefault="00A83F45" w:rsidP="00E019FC">
      <w:pPr>
        <w:spacing w:after="0"/>
        <w:rPr>
          <w:rFonts w:eastAsia="Times New Roman" w:cstheme="minorHAnsi"/>
        </w:rPr>
      </w:pPr>
      <w:r>
        <w:rPr>
          <w:rStyle w:val="EndnoteReference"/>
        </w:rPr>
        <w:endnoteRef/>
      </w:r>
      <w:r>
        <w:t xml:space="preserve"> </w:t>
      </w:r>
      <w:r w:rsidRPr="003D6A25">
        <w:rPr>
          <w:rFonts w:eastAsia="Times New Roman" w:cstheme="minorHAnsi"/>
        </w:rPr>
        <w:t xml:space="preserve">Penchansky, R., &amp; Thomas, J. W. (1981). The Concept of Access: Definition and Relationship to Consumer Satisfaction. </w:t>
      </w:r>
      <w:r w:rsidRPr="003D6A25">
        <w:rPr>
          <w:rFonts w:eastAsia="Times New Roman" w:cstheme="minorHAnsi"/>
          <w:i/>
          <w:iCs/>
        </w:rPr>
        <w:t>Medical Care</w:t>
      </w:r>
      <w:r w:rsidRPr="003D6A25">
        <w:rPr>
          <w:rFonts w:eastAsia="Times New Roman" w:cstheme="minorHAnsi"/>
        </w:rPr>
        <w:t xml:space="preserve">, </w:t>
      </w:r>
      <w:r w:rsidRPr="003D6A25">
        <w:rPr>
          <w:rFonts w:eastAsia="Times New Roman" w:cstheme="minorHAnsi"/>
          <w:i/>
          <w:iCs/>
        </w:rPr>
        <w:t>19</w:t>
      </w:r>
      <w:r w:rsidRPr="003D6A25">
        <w:rPr>
          <w:rFonts w:eastAsia="Times New Roman" w:cstheme="minorHAnsi"/>
        </w:rPr>
        <w:t xml:space="preserve">(2), 127–140. </w:t>
      </w:r>
      <w:hyperlink r:id="rId2" w:history="1">
        <w:r w:rsidRPr="003D6A25">
          <w:rPr>
            <w:rStyle w:val="Hyperlink"/>
            <w:rFonts w:eastAsia="Times New Roman" w:cstheme="minorHAnsi"/>
          </w:rPr>
          <w:t>http://www.jstor.org/stable/3764310</w:t>
        </w:r>
      </w:hyperlink>
      <w:r>
        <w:rPr>
          <w:rFonts w:eastAsia="Times New Roman" w:cstheme="minorHAnsi"/>
        </w:rPr>
        <w:t xml:space="preserve"> </w:t>
      </w:r>
    </w:p>
  </w:endnote>
  <w:endnote w:id="3">
    <w:p w14:paraId="3366BA0B" w14:textId="2B3C2C89" w:rsidR="00A83F45" w:rsidRDefault="00A83F45" w:rsidP="00E019FC">
      <w:pPr>
        <w:spacing w:after="0"/>
      </w:pPr>
      <w:r>
        <w:rPr>
          <w:rStyle w:val="EndnoteReference"/>
        </w:rPr>
        <w:endnoteRef/>
      </w:r>
      <w:r>
        <w:t xml:space="preserve"> </w:t>
      </w:r>
      <w:r w:rsidRPr="00E345C9">
        <w:t xml:space="preserve">Cutler, D. M. (2018). What is the US health spending problem?. </w:t>
      </w:r>
      <w:r w:rsidRPr="00E345C9">
        <w:rPr>
          <w:i/>
          <w:iCs/>
        </w:rPr>
        <w:t>Health Affairs, 37</w:t>
      </w:r>
      <w:r w:rsidRPr="00E345C9">
        <w:t>(3), 493-497.</w:t>
      </w:r>
      <w:r>
        <w:t xml:space="preserve"> </w:t>
      </w:r>
      <w:hyperlink r:id="rId3" w:history="1">
        <w:r w:rsidRPr="00C661A4">
          <w:rPr>
            <w:rStyle w:val="Hyperlink"/>
          </w:rPr>
          <w:t>https://doi.org/10.1377/hlthaff.2017.1626</w:t>
        </w:r>
      </w:hyperlink>
      <w:r>
        <w:t xml:space="preserve"> </w:t>
      </w:r>
    </w:p>
  </w:endnote>
  <w:endnote w:id="4">
    <w:p w14:paraId="0B0C85CF" w14:textId="663A6343" w:rsidR="00A83F45" w:rsidRDefault="00A83F45" w:rsidP="00E019FC">
      <w:pPr>
        <w:spacing w:after="0"/>
      </w:pPr>
      <w:r>
        <w:rPr>
          <w:rStyle w:val="EndnoteReference"/>
        </w:rPr>
        <w:endnoteRef/>
      </w:r>
      <w:r>
        <w:t xml:space="preserve"> Meacham, M.R. (2021). </w:t>
      </w:r>
      <w:r w:rsidRPr="00872E8A">
        <w:rPr>
          <w:i/>
          <w:iCs/>
        </w:rPr>
        <w:t>Longest's</w:t>
      </w:r>
      <w:r>
        <w:t xml:space="preserve"> </w:t>
      </w:r>
      <w:r>
        <w:rPr>
          <w:i/>
          <w:iCs/>
        </w:rPr>
        <w:t>Health Policymaking in the United States</w:t>
      </w:r>
      <w:r>
        <w:t xml:space="preserve"> (7</w:t>
      </w:r>
      <w:r w:rsidRPr="00C52F47">
        <w:rPr>
          <w:vertAlign w:val="superscript"/>
        </w:rPr>
        <w:t>th</w:t>
      </w:r>
      <w:r>
        <w:t xml:space="preserve"> ed.). Chicago, IL: Health Administration Press. </w:t>
      </w:r>
    </w:p>
  </w:endnote>
  <w:endnote w:id="5">
    <w:p w14:paraId="2C9E2864" w14:textId="3E647A54" w:rsidR="00A83F45" w:rsidRDefault="00A83F45" w:rsidP="00E019FC">
      <w:pPr>
        <w:spacing w:after="0"/>
      </w:pPr>
      <w:r>
        <w:rPr>
          <w:rStyle w:val="EndnoteReference"/>
        </w:rPr>
        <w:endnoteRef/>
      </w:r>
      <w:r>
        <w:t xml:space="preserve"> </w:t>
      </w:r>
      <w:r w:rsidRPr="00847618">
        <w:t xml:space="preserve">Kingdon, J. W. </w:t>
      </w:r>
      <w:r>
        <w:t xml:space="preserve">(1984). </w:t>
      </w:r>
      <w:r w:rsidRPr="001F13AC">
        <w:rPr>
          <w:i/>
          <w:iCs/>
        </w:rPr>
        <w:t>Agendas, Alternatives, and Public Policies</w:t>
      </w:r>
      <w:r>
        <w:t>. New York, NY: Longman.</w:t>
      </w:r>
    </w:p>
  </w:endnote>
  <w:endnote w:id="6">
    <w:p w14:paraId="2BBFFD0A" w14:textId="242E4563" w:rsidR="0042033B" w:rsidRDefault="0042033B">
      <w:pPr>
        <w:pStyle w:val="EndnoteText"/>
      </w:pPr>
      <w:r>
        <w:rPr>
          <w:rStyle w:val="EndnoteReference"/>
        </w:rPr>
        <w:endnoteRef/>
      </w:r>
      <w:r>
        <w:t xml:space="preserve"> </w:t>
      </w:r>
      <w:r w:rsidR="00495687" w:rsidRPr="000130DF">
        <w:rPr>
          <w:sz w:val="22"/>
          <w:szCs w:val="22"/>
        </w:rPr>
        <w:t xml:space="preserve">Levey, A. S., Stevens, L. A., Schmid, C. H., Zhang, Y., Castro III, A. F., Feldman, H. I., ... &amp; Coresh, J. (2009). A new equation to estimate glomerular filtration rate. </w:t>
      </w:r>
      <w:r w:rsidR="00495687" w:rsidRPr="000130DF">
        <w:rPr>
          <w:i/>
          <w:iCs/>
          <w:sz w:val="22"/>
          <w:szCs w:val="22"/>
        </w:rPr>
        <w:t>Annals of internal medicine, 150</w:t>
      </w:r>
      <w:r w:rsidR="00495687" w:rsidRPr="000130DF">
        <w:rPr>
          <w:sz w:val="22"/>
          <w:szCs w:val="22"/>
        </w:rPr>
        <w:t>(9), 604-612.</w:t>
      </w:r>
    </w:p>
  </w:endnote>
  <w:endnote w:id="7">
    <w:p w14:paraId="5BB72A08" w14:textId="319B8A6C" w:rsidR="009627E3" w:rsidRDefault="009627E3" w:rsidP="0052719B">
      <w:r>
        <w:rPr>
          <w:rStyle w:val="EndnoteReference"/>
        </w:rPr>
        <w:endnoteRef/>
      </w:r>
      <w:r w:rsidRPr="00880809">
        <w:t xml:space="preserve"> </w:t>
      </w:r>
      <w:r w:rsidR="0052719B" w:rsidRPr="00880809">
        <w:t xml:space="preserve">Mersha, T. B., &amp; Abebe, T. (2015). </w:t>
      </w:r>
      <w:r w:rsidR="0052719B">
        <w:t xml:space="preserve">Self-reported race/ethnicity in the age of genomic research: its potential impact on understanding health disparities. </w:t>
      </w:r>
      <w:r w:rsidR="0052719B">
        <w:rPr>
          <w:i/>
          <w:iCs/>
        </w:rPr>
        <w:t>Human genomics, 9</w:t>
      </w:r>
      <w:r w:rsidR="0052719B">
        <w:t xml:space="preserve">(1), 1-15. </w:t>
      </w:r>
      <w:hyperlink r:id="rId4" w:history="1">
        <w:r w:rsidR="0052719B">
          <w:rPr>
            <w:rStyle w:val="Hyperlink"/>
          </w:rPr>
          <w:t>https://doi.org/10.1186/s40246-014-0023-x</w:t>
        </w:r>
      </w:hyperlink>
      <w:r w:rsidR="0052719B">
        <w:t xml:space="preserve"> </w:t>
      </w:r>
    </w:p>
  </w:endnote>
  <w:endnote w:id="8">
    <w:p w14:paraId="44443B64" w14:textId="61C86462" w:rsidR="0052719B" w:rsidRDefault="0052719B" w:rsidP="00E351E4">
      <w:r>
        <w:rPr>
          <w:rStyle w:val="EndnoteReference"/>
        </w:rPr>
        <w:endnoteRef/>
      </w:r>
      <w:r w:rsidRPr="00880809">
        <w:t xml:space="preserve"> </w:t>
      </w:r>
      <w:r w:rsidR="00E351E4" w:rsidRPr="00880809">
        <w:t xml:space="preserve">Purnell TS, Luo X, Cooper LA, et al. </w:t>
      </w:r>
      <w:r w:rsidR="00E351E4">
        <w:t>(2018). Association of race and ethnicity with live donor kidney transplantation in the United States From 1995 to 2014. JAMA, 319(1), 49-61. doi:10.1001/jama.2017.19152</w:t>
      </w:r>
    </w:p>
  </w:endnote>
  <w:endnote w:id="9">
    <w:p w14:paraId="48BE4374" w14:textId="518E7283" w:rsidR="00E351E4" w:rsidRDefault="00E351E4" w:rsidP="005A0EAF">
      <w:r>
        <w:rPr>
          <w:rStyle w:val="EndnoteReference"/>
        </w:rPr>
        <w:endnoteRef/>
      </w:r>
      <w:r>
        <w:t xml:space="preserve"> </w:t>
      </w:r>
      <w:r w:rsidR="005A0EAF">
        <w:t xml:space="preserve">Sood A, Abdullah NM, Abdollah F, et al. (2015). Rates of kidney transplantation from living and deceased donors for Blacks and Whites in the United States, 1998 to 2011. JAMA Intern Med.,175(10), 1716-1718. doi:10.1001/jamainternmed.2015.4530 </w:t>
      </w:r>
    </w:p>
  </w:endnote>
  <w:endnote w:id="10">
    <w:p w14:paraId="55FE9AA3" w14:textId="340B5CE1" w:rsidR="005A0EAF" w:rsidRDefault="005A0EAF">
      <w:pPr>
        <w:pStyle w:val="EndnoteText"/>
      </w:pPr>
      <w:r>
        <w:rPr>
          <w:rStyle w:val="EndnoteReference"/>
        </w:rPr>
        <w:endnoteRef/>
      </w:r>
      <w:r>
        <w:t xml:space="preserve"> </w:t>
      </w:r>
      <w:r w:rsidR="008B6A95" w:rsidRPr="000130DF">
        <w:rPr>
          <w:sz w:val="22"/>
          <w:szCs w:val="22"/>
        </w:rPr>
        <w:t xml:space="preserve">Wolfe, R. A., Ashby, V. B., Milford, E. L., Ojo, A. O., Ettenger, R. E., Agodoa, L. Y., ... &amp; Port, F. K. (1999). Comparison of mortality in all patients on dialysis, patients on dialysis awaiting transplantation, and recipients of a first cadaveric transplant. </w:t>
      </w:r>
      <w:r w:rsidR="008B6A95" w:rsidRPr="000130DF">
        <w:rPr>
          <w:i/>
          <w:iCs/>
          <w:sz w:val="22"/>
          <w:szCs w:val="22"/>
        </w:rPr>
        <w:t>New England journal of medicine, 341</w:t>
      </w:r>
      <w:r w:rsidR="008B6A95" w:rsidRPr="000130DF">
        <w:rPr>
          <w:sz w:val="22"/>
          <w:szCs w:val="22"/>
        </w:rPr>
        <w:t>(23), 1725-1730.</w:t>
      </w:r>
    </w:p>
  </w:endnote>
  <w:endnote w:id="11">
    <w:p w14:paraId="317CCC98" w14:textId="72AAFB19" w:rsidR="0089338A" w:rsidRDefault="0089338A" w:rsidP="008C2C6D">
      <w:r>
        <w:rPr>
          <w:rStyle w:val="EndnoteReference"/>
        </w:rPr>
        <w:endnoteRef/>
      </w:r>
      <w:r>
        <w:t xml:space="preserve"> </w:t>
      </w:r>
      <w:r w:rsidR="008C2C6D">
        <w:t xml:space="preserve">Zelnick, L. R., Leca, N., Young, B., &amp; Bansal, N. (2021). Association of the estimated glomerular filtration rate with vs without a coefficient for race with time to eligibility for kidney transplant. </w:t>
      </w:r>
      <w:r w:rsidR="008C2C6D">
        <w:rPr>
          <w:i/>
          <w:iCs/>
        </w:rPr>
        <w:t>JAMA network open, 4</w:t>
      </w:r>
      <w:r w:rsidR="008C2C6D">
        <w:t xml:space="preserve">(1), e2034004-e2034004. </w:t>
      </w:r>
      <w:hyperlink r:id="rId5" w:history="1">
        <w:r w:rsidR="008C2C6D">
          <w:rPr>
            <w:rStyle w:val="Hyperlink"/>
          </w:rPr>
          <w:t>https://doi.org/10.1001/jamanetworkopen.2020.34004</w:t>
        </w:r>
      </w:hyperlink>
      <w:r w:rsidR="008C2C6D">
        <w:t xml:space="preserve"> </w:t>
      </w:r>
    </w:p>
  </w:endnote>
  <w:endnote w:id="12">
    <w:p w14:paraId="73A25404" w14:textId="4B787DAF" w:rsidR="008C2C6D" w:rsidRDefault="008C2C6D" w:rsidP="009E628B">
      <w:r>
        <w:rPr>
          <w:rStyle w:val="EndnoteReference"/>
        </w:rPr>
        <w:endnoteRef/>
      </w:r>
      <w:r w:rsidRPr="00880809">
        <w:t xml:space="preserve"> </w:t>
      </w:r>
      <w:r w:rsidR="009E628B" w:rsidRPr="00880809">
        <w:t xml:space="preserve">Jassal SV, Krahn MD, Naglie G, et al. </w:t>
      </w:r>
      <w:r w:rsidR="009E628B">
        <w:t xml:space="preserve">(2003). Kidney transplantation in the elderly: a decision analysis. </w:t>
      </w:r>
      <w:r w:rsidR="009E628B">
        <w:rPr>
          <w:i/>
          <w:iCs/>
        </w:rPr>
        <w:t>J Am Soc Nephrol, 14</w:t>
      </w:r>
      <w:r w:rsidR="009E628B">
        <w:t>, 187–196.</w:t>
      </w:r>
    </w:p>
  </w:endnote>
  <w:endnote w:id="13">
    <w:p w14:paraId="422B76BC" w14:textId="062E419C" w:rsidR="006D0F10" w:rsidRDefault="006D0F10">
      <w:pPr>
        <w:pStyle w:val="EndnoteText"/>
      </w:pPr>
      <w:r>
        <w:rPr>
          <w:rStyle w:val="EndnoteReference"/>
        </w:rPr>
        <w:endnoteRef/>
      </w:r>
      <w:r>
        <w:t xml:space="preserve"> </w:t>
      </w:r>
      <w:r w:rsidR="00DD6179" w:rsidRPr="0096736F">
        <w:rPr>
          <w:sz w:val="22"/>
          <w:szCs w:val="22"/>
        </w:rPr>
        <w:t>Levin, A. S., Bilous, R. W., &amp; Coresh, J. (2013). Chapter 1: Definition and classification of CKD. Kidney Int Suppl, 3(1), 19-62.</w:t>
      </w:r>
      <w:r w:rsidR="0096736F" w:rsidRPr="0096736F">
        <w:rPr>
          <w:sz w:val="22"/>
          <w:szCs w:val="22"/>
        </w:rPr>
        <w:t xml:space="preserve"> doi:10.1038/kisup.2012.64</w:t>
      </w:r>
    </w:p>
  </w:endnote>
  <w:endnote w:id="14">
    <w:p w14:paraId="09BA8359" w14:textId="44592785" w:rsidR="00CA2042" w:rsidRPr="00D32735" w:rsidRDefault="00CA2042">
      <w:pPr>
        <w:pStyle w:val="EndnoteText"/>
        <w:rPr>
          <w:sz w:val="22"/>
          <w:szCs w:val="22"/>
        </w:rPr>
      </w:pPr>
      <w:r>
        <w:rPr>
          <w:rStyle w:val="EndnoteReference"/>
        </w:rPr>
        <w:endnoteRef/>
      </w:r>
      <w:r>
        <w:t xml:space="preserve"> </w:t>
      </w:r>
      <w:r w:rsidR="00D32735">
        <w:rPr>
          <w:sz w:val="22"/>
          <w:szCs w:val="22"/>
        </w:rPr>
        <w:t xml:space="preserve">Organ Procurement and </w:t>
      </w:r>
      <w:r w:rsidR="00EC7FF6">
        <w:rPr>
          <w:sz w:val="22"/>
          <w:szCs w:val="22"/>
        </w:rPr>
        <w:t>Transplantation Network (</w:t>
      </w:r>
      <w:r w:rsidR="00E44D73">
        <w:rPr>
          <w:sz w:val="22"/>
          <w:szCs w:val="22"/>
        </w:rPr>
        <w:t xml:space="preserve">2020). Policies effective as of June 18 2020. </w:t>
      </w:r>
      <w:hyperlink r:id="rId6" w:history="1">
        <w:r w:rsidR="002D33A4" w:rsidRPr="00F74FFE">
          <w:rPr>
            <w:rStyle w:val="Hyperlink"/>
            <w:sz w:val="22"/>
            <w:szCs w:val="22"/>
          </w:rPr>
          <w:t>https://www.hhs.gov/guidance/sites/default/files/hhs-guidance-documents/optn_policies.pdf</w:t>
        </w:r>
      </w:hyperlink>
      <w:r w:rsidR="002D33A4">
        <w:rPr>
          <w:sz w:val="22"/>
          <w:szCs w:val="22"/>
        </w:rPr>
        <w:t xml:space="preserve"> </w:t>
      </w:r>
    </w:p>
  </w:endnote>
  <w:endnote w:id="15">
    <w:p w14:paraId="0E2F6A6E" w14:textId="1FF48E03" w:rsidR="00E0570C" w:rsidRDefault="00E0570C" w:rsidP="0039479F">
      <w:r>
        <w:rPr>
          <w:rStyle w:val="EndnoteReference"/>
        </w:rPr>
        <w:endnoteRef/>
      </w:r>
      <w:r>
        <w:t xml:space="preserve"> </w:t>
      </w:r>
      <w:r w:rsidR="0039479F">
        <w:t xml:space="preserve">Witzig, R. (1996). The medicalization of race: scientific legitimization of a flawed social construct. </w:t>
      </w:r>
      <w:r w:rsidR="0039479F">
        <w:rPr>
          <w:i/>
          <w:iCs/>
        </w:rPr>
        <w:t>Annals of internal medicine, 125</w:t>
      </w:r>
      <w:r w:rsidR="0039479F">
        <w:t xml:space="preserve">(8), 675-679. </w:t>
      </w:r>
      <w:hyperlink r:id="rId7" w:history="1">
        <w:r w:rsidR="0039479F">
          <w:rPr>
            <w:rStyle w:val="Hyperlink"/>
          </w:rPr>
          <w:t>https://doi.org/10.7326/0003-4819-125-8-199610150-00008</w:t>
        </w:r>
      </w:hyperlink>
      <w:r w:rsidR="0039479F">
        <w:t xml:space="preserve"> </w:t>
      </w:r>
    </w:p>
  </w:endnote>
  <w:endnote w:id="16">
    <w:p w14:paraId="6E36D552" w14:textId="7D6C9D21" w:rsidR="0039479F" w:rsidRPr="00880809" w:rsidRDefault="0039479F" w:rsidP="00F2450D">
      <w:pPr>
        <w:rPr>
          <w:lang w:val="nb-NO"/>
        </w:rPr>
      </w:pPr>
      <w:r>
        <w:rPr>
          <w:rStyle w:val="EndnoteReference"/>
        </w:rPr>
        <w:endnoteRef/>
      </w:r>
      <w:r w:rsidRPr="00880809">
        <w:t xml:space="preserve"> </w:t>
      </w:r>
      <w:r w:rsidR="00F2450D" w:rsidRPr="00880809">
        <w:t xml:space="preserve">Patzer, R. E., Amaral, S., Wasse, H., Volkova, N., Kleinbaum, D., &amp; McClellan, W. M. (2009). </w:t>
      </w:r>
      <w:r w:rsidR="00F2450D">
        <w:t xml:space="preserve">Neighborhood poverty and racial disparities in kidney transplant waitlisting. </w:t>
      </w:r>
      <w:r w:rsidR="00F2450D">
        <w:rPr>
          <w:i/>
          <w:iCs/>
        </w:rPr>
        <w:t>Journal of the American Society of Nephrology, 20</w:t>
      </w:r>
      <w:r w:rsidR="00F2450D">
        <w:t xml:space="preserve">(6), 1333-1340. </w:t>
      </w:r>
      <w:hyperlink r:id="rId8" w:history="1">
        <w:r w:rsidR="00F2450D" w:rsidRPr="00880809">
          <w:rPr>
            <w:rStyle w:val="Hyperlink"/>
            <w:lang w:val="nb-NO"/>
          </w:rPr>
          <w:t>https://doi.org/10.1681/ASN.2008030335</w:t>
        </w:r>
      </w:hyperlink>
      <w:r w:rsidR="00F2450D" w:rsidRPr="00880809">
        <w:rPr>
          <w:lang w:val="nb-NO"/>
        </w:rPr>
        <w:t xml:space="preserve"> </w:t>
      </w:r>
    </w:p>
  </w:endnote>
  <w:endnote w:id="17">
    <w:p w14:paraId="04B74573" w14:textId="6630F617" w:rsidR="00F2450D" w:rsidRDefault="00F2450D" w:rsidP="00D4777F">
      <w:r>
        <w:rPr>
          <w:rStyle w:val="EndnoteReference"/>
        </w:rPr>
        <w:endnoteRef/>
      </w:r>
      <w:r w:rsidRPr="00D4777F">
        <w:rPr>
          <w:lang w:val="nb-NO"/>
        </w:rPr>
        <w:t xml:space="preserve"> </w:t>
      </w:r>
      <w:r w:rsidR="00D4777F" w:rsidRPr="00D4777F">
        <w:rPr>
          <w:lang w:val="nb-NO"/>
        </w:rPr>
        <w:t xml:space="preserve">Udler, M. S., Nadkarni, G. N., Belbin, G., Lotay, V., Wyatt, C., Gottesman, O., ... </w:t>
      </w:r>
      <w:r w:rsidR="00D4777F">
        <w:t xml:space="preserve">&amp; Peter, I. (2015). Effect of genetic African ancestry on eGFR and kidney disease. </w:t>
      </w:r>
      <w:r w:rsidR="00D4777F">
        <w:rPr>
          <w:i/>
          <w:iCs/>
        </w:rPr>
        <w:t>Journal of the American Society of Nephrology, 26</w:t>
      </w:r>
      <w:r w:rsidR="00D4777F">
        <w:t xml:space="preserve">(7), 1682-1692. </w:t>
      </w:r>
      <w:hyperlink r:id="rId9" w:history="1">
        <w:r w:rsidR="00D4777F">
          <w:rPr>
            <w:rStyle w:val="Hyperlink"/>
          </w:rPr>
          <w:t>https://doi.org/10.1681/ASN.2014050474</w:t>
        </w:r>
      </w:hyperlink>
      <w:r w:rsidR="00D4777F">
        <w:t xml:space="preserve"> </w:t>
      </w:r>
    </w:p>
  </w:endnote>
  <w:endnote w:id="18">
    <w:p w14:paraId="3492DCC5" w14:textId="34BF51FF" w:rsidR="00D4777F" w:rsidRDefault="00D4777F" w:rsidP="0033415B">
      <w:r>
        <w:rPr>
          <w:rStyle w:val="EndnoteReference"/>
        </w:rPr>
        <w:endnoteRef/>
      </w:r>
      <w:r>
        <w:t xml:space="preserve"> </w:t>
      </w:r>
      <w:r w:rsidR="0033415B">
        <w:t xml:space="preserve">Nguyen, T. T., Criss, S., Michaels, E. K., Cross, R. I., Michaels, J. S., Dwivedi, P., ... &amp; Gee, G. C. (2021). Progress and push-back: How the killings of Ahmaud Arbery, Breonna Taylor, and George Floyd impacted public discourse on race and racism on Twitter. </w:t>
      </w:r>
      <w:r w:rsidR="0033415B">
        <w:rPr>
          <w:i/>
          <w:iCs/>
        </w:rPr>
        <w:t>SSM-population health</w:t>
      </w:r>
      <w:r w:rsidR="0033415B">
        <w:t>, 15, 100922.</w:t>
      </w:r>
    </w:p>
  </w:endnote>
  <w:endnote w:id="19">
    <w:p w14:paraId="31FAA55A" w14:textId="6DDE95B0" w:rsidR="0033415B" w:rsidRPr="009639DF" w:rsidRDefault="0033415B">
      <w:pPr>
        <w:pStyle w:val="EndnoteText"/>
        <w:rPr>
          <w:sz w:val="22"/>
          <w:szCs w:val="22"/>
        </w:rPr>
      </w:pPr>
      <w:r>
        <w:rPr>
          <w:rStyle w:val="EndnoteReference"/>
        </w:rPr>
        <w:endnoteRef/>
      </w:r>
      <w:r>
        <w:t xml:space="preserve"> </w:t>
      </w:r>
      <w:r w:rsidR="009639DF" w:rsidRPr="009639DF">
        <w:rPr>
          <w:sz w:val="22"/>
          <w:szCs w:val="22"/>
        </w:rPr>
        <w:t xml:space="preserve">Eneanya, N. D., Yang, W., &amp; Reese, P. P. (2019). Reconsidering the consequences of using race to estimate kidney function. </w:t>
      </w:r>
      <w:r w:rsidR="009639DF" w:rsidRPr="009639DF">
        <w:rPr>
          <w:i/>
          <w:iCs/>
          <w:sz w:val="22"/>
          <w:szCs w:val="22"/>
        </w:rPr>
        <w:t>Jama, 322</w:t>
      </w:r>
      <w:r w:rsidR="009639DF" w:rsidRPr="009639DF">
        <w:rPr>
          <w:sz w:val="22"/>
          <w:szCs w:val="22"/>
        </w:rPr>
        <w:t>(2), 113-114.</w:t>
      </w:r>
    </w:p>
  </w:endnote>
  <w:endnote w:id="20">
    <w:p w14:paraId="631CD80B" w14:textId="0BB08AB8" w:rsidR="000121FE" w:rsidRDefault="000121FE">
      <w:pPr>
        <w:pStyle w:val="EndnoteText"/>
      </w:pPr>
      <w:r>
        <w:rPr>
          <w:rStyle w:val="EndnoteReference"/>
        </w:rPr>
        <w:endnoteRef/>
      </w:r>
      <w:r>
        <w:t xml:space="preserve"> </w:t>
      </w:r>
      <w:r w:rsidRPr="00C63F78">
        <w:rPr>
          <w:sz w:val="22"/>
          <w:szCs w:val="22"/>
        </w:rPr>
        <w:t xml:space="preserve">CNN. (2021). Black or 'Other'? Doctors may be relying on race to make decisions about your health. </w:t>
      </w:r>
      <w:hyperlink r:id="rId10" w:history="1">
        <w:r w:rsidR="00C63F78" w:rsidRPr="00C63F78">
          <w:rPr>
            <w:rStyle w:val="Hyperlink"/>
            <w:sz w:val="22"/>
            <w:szCs w:val="22"/>
          </w:rPr>
          <w:t>https://www.cnn.com/2021/04/25/health/race-correction-in-medicine-history-refocused/index.html</w:t>
        </w:r>
      </w:hyperlink>
      <w:r w:rsidR="00C63F78" w:rsidRPr="00C63F78">
        <w:rPr>
          <w:sz w:val="22"/>
          <w:szCs w:val="22"/>
        </w:rPr>
        <w:t xml:space="preserve"> </w:t>
      </w:r>
    </w:p>
  </w:endnote>
  <w:endnote w:id="21">
    <w:p w14:paraId="6A2B9793" w14:textId="537DADC7" w:rsidR="00516021" w:rsidRDefault="00516021">
      <w:pPr>
        <w:pStyle w:val="EndnoteText"/>
      </w:pPr>
      <w:r>
        <w:rPr>
          <w:rStyle w:val="EndnoteReference"/>
        </w:rPr>
        <w:endnoteRef/>
      </w:r>
      <w:r w:rsidRPr="00853654">
        <w:rPr>
          <w:lang w:val="es-PR"/>
        </w:rPr>
        <w:t xml:space="preserve"> </w:t>
      </w:r>
      <w:r w:rsidR="00293397" w:rsidRPr="00853654">
        <w:rPr>
          <w:sz w:val="22"/>
          <w:szCs w:val="22"/>
          <w:lang w:val="es-PR"/>
        </w:rPr>
        <w:t xml:space="preserve">Delgado, C., Baweja, M., Crews, D. C., Eneanya, N. D., Gadegbeku, C. A., Inker, L. A., ... </w:t>
      </w:r>
      <w:r w:rsidR="00293397" w:rsidRPr="00781C2A">
        <w:rPr>
          <w:sz w:val="22"/>
          <w:szCs w:val="22"/>
        </w:rPr>
        <w:t>&amp; Powe, N. R. (2021). A unifying approach for GFR estimation: Recommendations of the NKF-ASN Task Force on Reassessing the Inclusion of Race in Diagnosing Kidney Disease. American Journal of Kidney Diseases.</w:t>
      </w:r>
      <w:r w:rsidR="00781C2A" w:rsidRPr="00781C2A">
        <w:rPr>
          <w:sz w:val="22"/>
          <w:szCs w:val="22"/>
        </w:rPr>
        <w:t xml:space="preserve"> </w:t>
      </w:r>
      <w:hyperlink r:id="rId11" w:history="1">
        <w:r w:rsidR="00781C2A" w:rsidRPr="00781C2A">
          <w:rPr>
            <w:rStyle w:val="Hyperlink"/>
            <w:sz w:val="22"/>
            <w:szCs w:val="22"/>
          </w:rPr>
          <w:t>https://doi.org/10.1053/j.ajkd.2021.08.003</w:t>
        </w:r>
      </w:hyperlink>
      <w:r w:rsidR="00781C2A" w:rsidRPr="00781C2A">
        <w:rPr>
          <w:sz w:val="22"/>
          <w:szCs w:val="22"/>
        </w:rPr>
        <w:t xml:space="preserve"> </w:t>
      </w:r>
    </w:p>
  </w:endnote>
  <w:endnote w:id="22">
    <w:p w14:paraId="5DB99B15" w14:textId="62A33E8A" w:rsidR="00BA49B5" w:rsidRPr="00530B55" w:rsidRDefault="00BA49B5" w:rsidP="00E019FC">
      <w:pPr>
        <w:pStyle w:val="EndnoteText"/>
        <w:rPr>
          <w:rFonts w:cstheme="minorHAnsi"/>
          <w:sz w:val="22"/>
          <w:szCs w:val="22"/>
        </w:rPr>
      </w:pPr>
      <w:r>
        <w:rPr>
          <w:rStyle w:val="EndnoteReference"/>
        </w:rPr>
        <w:endnoteRef/>
      </w:r>
      <w:r>
        <w:t xml:space="preserve"> </w:t>
      </w:r>
      <w:r w:rsidR="00010D8B" w:rsidRPr="00530B55">
        <w:rPr>
          <w:rFonts w:cstheme="minorHAnsi"/>
          <w:sz w:val="22"/>
          <w:szCs w:val="22"/>
        </w:rPr>
        <w:t>State of California</w:t>
      </w:r>
      <w:r w:rsidR="008C4340" w:rsidRPr="00530B55">
        <w:rPr>
          <w:rFonts w:cstheme="minorHAnsi"/>
          <w:sz w:val="22"/>
          <w:szCs w:val="22"/>
        </w:rPr>
        <w:t>. Senate Bill 158</w:t>
      </w:r>
      <w:r w:rsidR="0089437B" w:rsidRPr="00530B55">
        <w:rPr>
          <w:rFonts w:cstheme="minorHAnsi"/>
          <w:sz w:val="22"/>
          <w:szCs w:val="22"/>
        </w:rPr>
        <w:t>.</w:t>
      </w:r>
      <w:r w:rsidR="00AE7F7F" w:rsidRPr="00530B55">
        <w:rPr>
          <w:rFonts w:cstheme="minorHAnsi"/>
          <w:sz w:val="22"/>
          <w:szCs w:val="22"/>
        </w:rPr>
        <w:t xml:space="preserve"> </w:t>
      </w:r>
      <w:r w:rsidR="00A9776D" w:rsidRPr="00530B55">
        <w:rPr>
          <w:rFonts w:cstheme="minorHAnsi"/>
          <w:sz w:val="22"/>
          <w:szCs w:val="22"/>
        </w:rPr>
        <w:t>Florez</w:t>
      </w:r>
      <w:r w:rsidR="00AF62CA" w:rsidRPr="00530B55">
        <w:rPr>
          <w:rFonts w:cstheme="minorHAnsi"/>
          <w:sz w:val="22"/>
          <w:szCs w:val="22"/>
        </w:rPr>
        <w:t xml:space="preserve">. Hospitals: Patient Safety and Infection Control. </w:t>
      </w:r>
      <w:r w:rsidR="003E5FD6" w:rsidRPr="00530B55">
        <w:rPr>
          <w:rFonts w:cstheme="minorHAnsi"/>
          <w:sz w:val="22"/>
          <w:szCs w:val="22"/>
        </w:rPr>
        <w:t xml:space="preserve">Chapter 294. Statutes of 2008. </w:t>
      </w:r>
      <w:hyperlink r:id="rId12" w:history="1">
        <w:r w:rsidR="00E45BF7" w:rsidRPr="00530B55">
          <w:rPr>
            <w:rStyle w:val="Hyperlink"/>
            <w:rFonts w:cstheme="minorHAnsi"/>
            <w:sz w:val="22"/>
            <w:szCs w:val="22"/>
          </w:rPr>
          <w:t>https://leginfo.legislature.ca.gov/faces/billTextClient.xhtml?bill_id=200720080SB158</w:t>
        </w:r>
      </w:hyperlink>
      <w:r w:rsidRPr="00530B55">
        <w:rPr>
          <w:rFonts w:cstheme="minorHAnsi"/>
          <w:sz w:val="22"/>
          <w:szCs w:val="22"/>
        </w:rPr>
        <w:t xml:space="preserve"> </w:t>
      </w:r>
    </w:p>
  </w:endnote>
  <w:endnote w:id="23">
    <w:p w14:paraId="347F67F2" w14:textId="4C1E5AD0" w:rsidR="00BA49B5" w:rsidRPr="00530B55" w:rsidRDefault="00BA49B5" w:rsidP="00E019FC">
      <w:pPr>
        <w:pStyle w:val="NormalWeb"/>
        <w:spacing w:before="0" w:beforeAutospacing="0" w:after="0" w:afterAutospacing="0"/>
        <w:ind w:left="567" w:hanging="567"/>
        <w:rPr>
          <w:rFonts w:asciiTheme="minorHAnsi" w:hAnsiTheme="minorHAnsi" w:cstheme="minorHAnsi"/>
          <w:sz w:val="22"/>
          <w:szCs w:val="22"/>
        </w:rPr>
      </w:pPr>
      <w:r w:rsidRPr="00530B55">
        <w:rPr>
          <w:rStyle w:val="EndnoteReference"/>
          <w:rFonts w:asciiTheme="minorHAnsi" w:hAnsiTheme="minorHAnsi" w:cstheme="minorHAnsi"/>
          <w:sz w:val="22"/>
          <w:szCs w:val="22"/>
        </w:rPr>
        <w:endnoteRef/>
      </w:r>
      <w:r w:rsidRPr="00530B55">
        <w:rPr>
          <w:rFonts w:asciiTheme="minorHAnsi" w:hAnsiTheme="minorHAnsi" w:cstheme="minorHAnsi"/>
          <w:sz w:val="22"/>
          <w:szCs w:val="22"/>
        </w:rPr>
        <w:t xml:space="preserve"> </w:t>
      </w:r>
      <w:r w:rsidR="00971F6F" w:rsidRPr="00530B55">
        <w:rPr>
          <w:rFonts w:asciiTheme="minorHAnsi" w:hAnsiTheme="minorHAnsi" w:cstheme="minorHAnsi"/>
          <w:i/>
          <w:iCs/>
          <w:sz w:val="22"/>
          <w:szCs w:val="22"/>
        </w:rPr>
        <w:t>What is ENFit?</w:t>
      </w:r>
      <w:r w:rsidR="00971F6F" w:rsidRPr="00530B55">
        <w:rPr>
          <w:rFonts w:asciiTheme="minorHAnsi" w:hAnsiTheme="minorHAnsi" w:cstheme="minorHAnsi"/>
          <w:sz w:val="22"/>
          <w:szCs w:val="22"/>
        </w:rPr>
        <w:t xml:space="preserve"> Easier Tube Feeding - No More Messy Syringes. (n.d.). Retrieved January 12, 2022, from </w:t>
      </w:r>
      <w:hyperlink r:id="rId13" w:history="1">
        <w:r w:rsidR="00971F6F" w:rsidRPr="00530B55">
          <w:rPr>
            <w:rStyle w:val="Hyperlink"/>
            <w:rFonts w:asciiTheme="minorHAnsi" w:hAnsiTheme="minorHAnsi" w:cstheme="minorHAnsi"/>
            <w:sz w:val="22"/>
            <w:szCs w:val="22"/>
          </w:rPr>
          <w:t>https://www.udelivermedical.com/what-is-enfit</w:t>
        </w:r>
      </w:hyperlink>
      <w:r w:rsidR="00971F6F" w:rsidRPr="00530B55">
        <w:rPr>
          <w:rFonts w:asciiTheme="minorHAnsi" w:hAnsiTheme="minorHAnsi" w:cstheme="minorHAnsi"/>
          <w:sz w:val="22"/>
          <w:szCs w:val="22"/>
        </w:rPr>
        <w:t xml:space="preserve"> </w:t>
      </w:r>
    </w:p>
  </w:endnote>
  <w:endnote w:id="24">
    <w:p w14:paraId="16C3774C" w14:textId="51966142" w:rsidR="00BA49B5" w:rsidRPr="00530B55" w:rsidRDefault="00BA49B5" w:rsidP="00E019FC">
      <w:pPr>
        <w:pStyle w:val="NormalWeb"/>
        <w:spacing w:before="0" w:beforeAutospacing="0" w:after="0" w:afterAutospacing="0"/>
        <w:ind w:left="567" w:hanging="567"/>
        <w:rPr>
          <w:rFonts w:asciiTheme="minorHAnsi" w:hAnsiTheme="minorHAnsi" w:cstheme="minorHAnsi"/>
          <w:sz w:val="22"/>
          <w:szCs w:val="22"/>
        </w:rPr>
      </w:pPr>
      <w:r w:rsidRPr="00530B55">
        <w:rPr>
          <w:rStyle w:val="EndnoteReference"/>
          <w:rFonts w:asciiTheme="minorHAnsi" w:hAnsiTheme="minorHAnsi" w:cstheme="minorHAnsi"/>
          <w:sz w:val="22"/>
          <w:szCs w:val="22"/>
        </w:rPr>
        <w:endnoteRef/>
      </w:r>
      <w:r w:rsidRPr="00530B55">
        <w:rPr>
          <w:rFonts w:asciiTheme="minorHAnsi" w:hAnsiTheme="minorHAnsi" w:cstheme="minorHAnsi"/>
          <w:sz w:val="22"/>
          <w:szCs w:val="22"/>
        </w:rPr>
        <w:t xml:space="preserve"> </w:t>
      </w:r>
      <w:r w:rsidR="00E60EF6" w:rsidRPr="00530B55">
        <w:rPr>
          <w:rFonts w:asciiTheme="minorHAnsi" w:hAnsiTheme="minorHAnsi" w:cstheme="minorHAnsi"/>
          <w:sz w:val="22"/>
          <w:szCs w:val="22"/>
        </w:rPr>
        <w:t xml:space="preserve">Dewhurst, E. (2015, April). </w:t>
      </w:r>
      <w:r w:rsidR="00E60EF6" w:rsidRPr="00530B55">
        <w:rPr>
          <w:rFonts w:asciiTheme="minorHAnsi" w:hAnsiTheme="minorHAnsi" w:cstheme="minorHAnsi"/>
          <w:i/>
          <w:iCs/>
          <w:sz w:val="22"/>
          <w:szCs w:val="22"/>
        </w:rPr>
        <w:t>Rise of the ENFIT enteral connector</w:t>
      </w:r>
      <w:r w:rsidR="00E60EF6" w:rsidRPr="00530B55">
        <w:rPr>
          <w:rFonts w:asciiTheme="minorHAnsi" w:hAnsiTheme="minorHAnsi" w:cstheme="minorHAnsi"/>
          <w:sz w:val="22"/>
          <w:szCs w:val="22"/>
        </w:rPr>
        <w:t xml:space="preserve">. Medela. Retrieved January 12, 2022, from </w:t>
      </w:r>
      <w:hyperlink r:id="rId14" w:history="1">
        <w:r w:rsidR="00E60EF6" w:rsidRPr="00530B55">
          <w:rPr>
            <w:rStyle w:val="Hyperlink"/>
            <w:rFonts w:asciiTheme="minorHAnsi" w:hAnsiTheme="minorHAnsi" w:cstheme="minorHAnsi"/>
            <w:sz w:val="22"/>
            <w:szCs w:val="22"/>
          </w:rPr>
          <w:t>https://www.medela.us/breastfeeding-professionals/blog/rise-of-the-enfit-enteral-connector</w:t>
        </w:r>
      </w:hyperlink>
      <w:r w:rsidR="00E60EF6" w:rsidRPr="00530B55">
        <w:rPr>
          <w:rFonts w:asciiTheme="minorHAnsi" w:hAnsiTheme="minorHAnsi" w:cstheme="minorHAnsi"/>
          <w:sz w:val="22"/>
          <w:szCs w:val="22"/>
        </w:rPr>
        <w:t xml:space="preserve"> </w:t>
      </w:r>
    </w:p>
  </w:endnote>
  <w:endnote w:id="25">
    <w:p w14:paraId="63C463EB" w14:textId="34C91410" w:rsidR="00BA49B5" w:rsidRPr="00530B55" w:rsidRDefault="00BA49B5" w:rsidP="00E019FC">
      <w:pPr>
        <w:pStyle w:val="NormalWeb"/>
        <w:spacing w:before="0" w:beforeAutospacing="0" w:after="0" w:afterAutospacing="0"/>
        <w:ind w:left="567" w:hanging="567"/>
        <w:rPr>
          <w:rFonts w:asciiTheme="minorHAnsi" w:hAnsiTheme="minorHAnsi" w:cstheme="minorHAnsi"/>
          <w:sz w:val="22"/>
          <w:szCs w:val="22"/>
        </w:rPr>
      </w:pPr>
      <w:r w:rsidRPr="00530B55">
        <w:rPr>
          <w:rStyle w:val="EndnoteReference"/>
          <w:rFonts w:asciiTheme="minorHAnsi" w:hAnsiTheme="minorHAnsi" w:cstheme="minorHAnsi"/>
          <w:sz w:val="22"/>
          <w:szCs w:val="22"/>
        </w:rPr>
        <w:endnoteRef/>
      </w:r>
      <w:r w:rsidRPr="00530B55">
        <w:rPr>
          <w:rFonts w:asciiTheme="minorHAnsi" w:hAnsiTheme="minorHAnsi" w:cstheme="minorHAnsi"/>
          <w:sz w:val="22"/>
          <w:szCs w:val="22"/>
        </w:rPr>
        <w:t xml:space="preserve"> </w:t>
      </w:r>
      <w:r w:rsidR="00E51524" w:rsidRPr="00530B55">
        <w:rPr>
          <w:rFonts w:asciiTheme="minorHAnsi" w:hAnsiTheme="minorHAnsi" w:cstheme="minorHAnsi"/>
          <w:sz w:val="22"/>
          <w:szCs w:val="22"/>
        </w:rPr>
        <w:t xml:space="preserve">Harris, G. (2010, August 20). U.S. Inaction Lets Look-Alike Tubes Kill Patients. </w:t>
      </w:r>
      <w:r w:rsidR="00E51524" w:rsidRPr="00530B55">
        <w:rPr>
          <w:rFonts w:asciiTheme="minorHAnsi" w:hAnsiTheme="minorHAnsi" w:cstheme="minorHAnsi"/>
          <w:i/>
          <w:iCs/>
          <w:sz w:val="22"/>
          <w:szCs w:val="22"/>
        </w:rPr>
        <w:t>New York Times</w:t>
      </w:r>
      <w:r w:rsidR="00E51524" w:rsidRPr="00530B55">
        <w:rPr>
          <w:rFonts w:asciiTheme="minorHAnsi" w:hAnsiTheme="minorHAnsi" w:cstheme="minorHAnsi"/>
          <w:sz w:val="22"/>
          <w:szCs w:val="22"/>
        </w:rPr>
        <w:t xml:space="preserve">. Retrieved January 12, 2022, from </w:t>
      </w:r>
      <w:hyperlink r:id="rId15" w:history="1">
        <w:r w:rsidR="00E51524" w:rsidRPr="00530B55">
          <w:rPr>
            <w:rStyle w:val="Hyperlink"/>
            <w:rFonts w:asciiTheme="minorHAnsi" w:hAnsiTheme="minorHAnsi" w:cstheme="minorHAnsi"/>
            <w:sz w:val="22"/>
            <w:szCs w:val="22"/>
          </w:rPr>
          <w:t>https://www.nytimes.com/2010/08/21/health/policy/21tubes.html</w:t>
        </w:r>
      </w:hyperlink>
      <w:r w:rsidR="00E51524" w:rsidRPr="00530B55">
        <w:rPr>
          <w:rFonts w:asciiTheme="minorHAnsi" w:hAnsiTheme="minorHAnsi" w:cstheme="minorHAnsi"/>
          <w:sz w:val="22"/>
          <w:szCs w:val="22"/>
        </w:rPr>
        <w:t xml:space="preserve"> </w:t>
      </w:r>
    </w:p>
  </w:endnote>
  <w:endnote w:id="26">
    <w:p w14:paraId="003A08E4" w14:textId="77777777" w:rsidR="00BA49B5" w:rsidRPr="00530B55" w:rsidRDefault="00BA49B5" w:rsidP="00E019FC">
      <w:pPr>
        <w:pStyle w:val="EndnoteText"/>
        <w:rPr>
          <w:rFonts w:cstheme="minorHAnsi"/>
          <w:sz w:val="22"/>
          <w:szCs w:val="22"/>
        </w:rPr>
      </w:pPr>
      <w:r w:rsidRPr="00530B55">
        <w:rPr>
          <w:rStyle w:val="EndnoteReference"/>
          <w:rFonts w:cstheme="minorHAnsi"/>
          <w:sz w:val="22"/>
          <w:szCs w:val="22"/>
        </w:rPr>
        <w:endnoteRef/>
      </w:r>
      <w:r w:rsidRPr="00530B55">
        <w:rPr>
          <w:rFonts w:cstheme="minorHAnsi"/>
          <w:sz w:val="22"/>
          <w:szCs w:val="22"/>
        </w:rPr>
        <w:t xml:space="preserve"> Simmons, D., Symes, L., Guenter, P. &amp; Graves, K. (2011). Tubing misconnections: Normalization of deviance. </w:t>
      </w:r>
      <w:r w:rsidRPr="00530B55">
        <w:rPr>
          <w:rFonts w:cstheme="minorHAnsi"/>
          <w:i/>
          <w:iCs/>
          <w:sz w:val="22"/>
          <w:szCs w:val="22"/>
        </w:rPr>
        <w:t>Nutrition in Clinical Practice, 26</w:t>
      </w:r>
      <w:r w:rsidRPr="00530B55">
        <w:rPr>
          <w:rFonts w:cstheme="minorHAnsi"/>
          <w:sz w:val="22"/>
          <w:szCs w:val="22"/>
        </w:rPr>
        <w:t>(3), 286-293.</w:t>
      </w:r>
    </w:p>
  </w:endnote>
  <w:endnote w:id="27">
    <w:p w14:paraId="07278539" w14:textId="61EE9E0F" w:rsidR="00530B55" w:rsidRPr="00530B55" w:rsidRDefault="00BA49B5" w:rsidP="00E019FC">
      <w:pPr>
        <w:pStyle w:val="NormalWeb"/>
        <w:spacing w:before="0" w:beforeAutospacing="0" w:after="0" w:afterAutospacing="0"/>
        <w:ind w:left="567" w:hanging="567"/>
        <w:rPr>
          <w:rFonts w:asciiTheme="minorHAnsi" w:hAnsiTheme="minorHAnsi" w:cstheme="minorHAnsi"/>
          <w:sz w:val="22"/>
          <w:szCs w:val="22"/>
        </w:rPr>
      </w:pPr>
      <w:r w:rsidRPr="00530B55">
        <w:rPr>
          <w:rStyle w:val="EndnoteReference"/>
          <w:rFonts w:asciiTheme="minorHAnsi" w:hAnsiTheme="minorHAnsi" w:cstheme="minorHAnsi"/>
          <w:sz w:val="22"/>
          <w:szCs w:val="22"/>
        </w:rPr>
        <w:endnoteRef/>
      </w:r>
      <w:r w:rsidRPr="00530B55">
        <w:rPr>
          <w:rFonts w:asciiTheme="minorHAnsi" w:hAnsiTheme="minorHAnsi" w:cstheme="minorHAnsi"/>
          <w:sz w:val="22"/>
          <w:szCs w:val="22"/>
        </w:rPr>
        <w:t xml:space="preserve"> </w:t>
      </w:r>
      <w:r w:rsidR="00530B55" w:rsidRPr="00530B55">
        <w:rPr>
          <w:rFonts w:asciiTheme="minorHAnsi" w:hAnsiTheme="minorHAnsi" w:cstheme="minorHAnsi"/>
          <w:i/>
          <w:iCs/>
          <w:sz w:val="22"/>
          <w:szCs w:val="22"/>
        </w:rPr>
        <w:t>Enteral (ENFit®)</w:t>
      </w:r>
      <w:r w:rsidR="00530B55" w:rsidRPr="00530B55">
        <w:rPr>
          <w:rFonts w:asciiTheme="minorHAnsi" w:hAnsiTheme="minorHAnsi" w:cstheme="minorHAnsi"/>
          <w:sz w:val="22"/>
          <w:szCs w:val="22"/>
        </w:rPr>
        <w:t xml:space="preserve">. StayConnected by GEDSA. (2021, April 28). Retrieved January 12, 2022, from </w:t>
      </w:r>
      <w:hyperlink r:id="rId16" w:history="1">
        <w:r w:rsidR="00530B55" w:rsidRPr="00530B55">
          <w:rPr>
            <w:rStyle w:val="Hyperlink"/>
            <w:rFonts w:asciiTheme="minorHAnsi" w:hAnsiTheme="minorHAnsi" w:cstheme="minorHAnsi"/>
            <w:sz w:val="22"/>
            <w:szCs w:val="22"/>
          </w:rPr>
          <w:t>https://stayconnected.org/enteral-enfit/</w:t>
        </w:r>
      </w:hyperlink>
      <w:r w:rsidR="00530B55" w:rsidRPr="00530B55">
        <w:rPr>
          <w:rFonts w:asciiTheme="minorHAnsi" w:hAnsiTheme="minorHAnsi" w:cstheme="minorHAnsi"/>
          <w:sz w:val="22"/>
          <w:szCs w:val="22"/>
        </w:rPr>
        <w:t xml:space="preserve">  </w:t>
      </w:r>
    </w:p>
    <w:p w14:paraId="4D73B020" w14:textId="0F216BF0" w:rsidR="00BA49B5" w:rsidRDefault="00BA49B5" w:rsidP="00E019FC">
      <w:pPr>
        <w:pStyle w:val="EndnoteText"/>
      </w:pPr>
    </w:p>
  </w:endnote>
  <w:endnote w:id="28">
    <w:p w14:paraId="20E79213" w14:textId="06445AAE" w:rsidR="00884989" w:rsidRDefault="00884989" w:rsidP="00E019FC">
      <w:pPr>
        <w:pStyle w:val="EndnoteText"/>
      </w:pPr>
      <w:r>
        <w:rPr>
          <w:rStyle w:val="EndnoteReference"/>
        </w:rPr>
        <w:endnoteRef/>
      </w:r>
      <w:r>
        <w:t xml:space="preserve"> </w:t>
      </w:r>
      <w:r w:rsidR="008F0DCF" w:rsidRPr="00530B55">
        <w:rPr>
          <w:rFonts w:cstheme="minorHAnsi"/>
          <w:sz w:val="22"/>
          <w:szCs w:val="22"/>
        </w:rPr>
        <w:t xml:space="preserve">State of California. </w:t>
      </w:r>
      <w:r w:rsidR="008F0DCF">
        <w:rPr>
          <w:rFonts w:cstheme="minorHAnsi"/>
          <w:sz w:val="22"/>
          <w:szCs w:val="22"/>
        </w:rPr>
        <w:t>Assembly</w:t>
      </w:r>
      <w:r w:rsidR="008F0DCF" w:rsidRPr="00530B55">
        <w:rPr>
          <w:rFonts w:cstheme="minorHAnsi"/>
          <w:sz w:val="22"/>
          <w:szCs w:val="22"/>
        </w:rPr>
        <w:t xml:space="preserve"> Bill </w:t>
      </w:r>
      <w:r w:rsidR="008F0DCF">
        <w:rPr>
          <w:rFonts w:cstheme="minorHAnsi"/>
          <w:sz w:val="22"/>
          <w:szCs w:val="22"/>
        </w:rPr>
        <w:t>444</w:t>
      </w:r>
      <w:r w:rsidR="008F0DCF" w:rsidRPr="00530B55">
        <w:rPr>
          <w:rFonts w:cstheme="minorHAnsi"/>
          <w:sz w:val="22"/>
          <w:szCs w:val="22"/>
        </w:rPr>
        <w:t xml:space="preserve">. </w:t>
      </w:r>
      <w:r w:rsidR="00886DFE">
        <w:rPr>
          <w:rFonts w:cstheme="minorHAnsi"/>
          <w:sz w:val="22"/>
          <w:szCs w:val="22"/>
        </w:rPr>
        <w:t>Gipson</w:t>
      </w:r>
      <w:r w:rsidR="008F0DCF" w:rsidRPr="00530B55">
        <w:rPr>
          <w:rFonts w:cstheme="minorHAnsi"/>
          <w:sz w:val="22"/>
          <w:szCs w:val="22"/>
        </w:rPr>
        <w:t xml:space="preserve">. </w:t>
      </w:r>
      <w:r w:rsidR="00886DFE">
        <w:rPr>
          <w:rFonts w:cstheme="minorHAnsi"/>
          <w:sz w:val="22"/>
          <w:szCs w:val="22"/>
        </w:rPr>
        <w:t>Health facilities: epidural and enteral feeding connectors</w:t>
      </w:r>
      <w:r w:rsidR="008F0DCF" w:rsidRPr="00530B55">
        <w:rPr>
          <w:rFonts w:cstheme="minorHAnsi"/>
          <w:sz w:val="22"/>
          <w:szCs w:val="22"/>
        </w:rPr>
        <w:t xml:space="preserve">. Chapter </w:t>
      </w:r>
      <w:r w:rsidR="000D5DC9">
        <w:rPr>
          <w:rFonts w:cstheme="minorHAnsi"/>
          <w:sz w:val="22"/>
          <w:szCs w:val="22"/>
        </w:rPr>
        <w:t>198</w:t>
      </w:r>
      <w:r w:rsidR="008F0DCF" w:rsidRPr="00530B55">
        <w:rPr>
          <w:rFonts w:cstheme="minorHAnsi"/>
          <w:sz w:val="22"/>
          <w:szCs w:val="22"/>
        </w:rPr>
        <w:t>. Statutes of 20</w:t>
      </w:r>
      <w:r w:rsidR="000D5DC9">
        <w:rPr>
          <w:rFonts w:cstheme="minorHAnsi"/>
          <w:sz w:val="22"/>
          <w:szCs w:val="22"/>
        </w:rPr>
        <w:t>15</w:t>
      </w:r>
      <w:r w:rsidR="008F0DCF" w:rsidRPr="00530B55">
        <w:rPr>
          <w:rFonts w:cstheme="minorHAnsi"/>
          <w:sz w:val="22"/>
          <w:szCs w:val="22"/>
        </w:rPr>
        <w:t>.</w:t>
      </w:r>
      <w:r w:rsidR="000D5DC9">
        <w:rPr>
          <w:rFonts w:cstheme="minorHAnsi"/>
          <w:sz w:val="22"/>
          <w:szCs w:val="22"/>
        </w:rPr>
        <w:t xml:space="preserve"> </w:t>
      </w:r>
      <w:hyperlink r:id="rId17" w:history="1">
        <w:r w:rsidR="000D5DC9" w:rsidRPr="004E77CA">
          <w:rPr>
            <w:rStyle w:val="Hyperlink"/>
            <w:rFonts w:cstheme="minorHAnsi"/>
            <w:sz w:val="22"/>
            <w:szCs w:val="22"/>
          </w:rPr>
          <w:t>https://leginfo.legislature.ca.gov/faces/billNavClient.xhtml?bill_id=201520160AB444</w:t>
        </w:r>
      </w:hyperlink>
      <w:r w:rsidR="000D5DC9">
        <w:rPr>
          <w:rFonts w:cstheme="minorHAnsi"/>
          <w:sz w:val="22"/>
          <w:szCs w:val="22"/>
        </w:rPr>
        <w:t xml:space="preserve"> </w:t>
      </w:r>
    </w:p>
  </w:endnote>
  <w:endnote w:id="29">
    <w:p w14:paraId="2D97B4D8" w14:textId="77777777" w:rsidR="00E019FC" w:rsidRPr="00424ED6" w:rsidRDefault="00E019FC" w:rsidP="00696487">
      <w:pPr>
        <w:pStyle w:val="NormalWeb"/>
        <w:spacing w:before="0" w:beforeAutospacing="0" w:after="0" w:afterAutospacing="0"/>
        <w:ind w:left="567" w:hanging="567"/>
        <w:rPr>
          <w:rFonts w:asciiTheme="minorHAnsi" w:hAnsiTheme="minorHAnsi" w:cstheme="minorHAnsi"/>
          <w:sz w:val="22"/>
          <w:szCs w:val="22"/>
        </w:rPr>
      </w:pPr>
      <w:r w:rsidRPr="00424ED6">
        <w:rPr>
          <w:rStyle w:val="EndnoteReference"/>
          <w:rFonts w:asciiTheme="minorHAnsi" w:hAnsiTheme="minorHAnsi" w:cstheme="minorHAnsi"/>
          <w:sz w:val="22"/>
          <w:szCs w:val="22"/>
        </w:rPr>
        <w:endnoteRef/>
      </w:r>
      <w:r w:rsidRPr="00424ED6">
        <w:rPr>
          <w:rFonts w:asciiTheme="minorHAnsi" w:hAnsiTheme="minorHAnsi" w:cstheme="minorHAnsi"/>
          <w:sz w:val="22"/>
          <w:szCs w:val="22"/>
        </w:rPr>
        <w:t xml:space="preserve"> Centers for Disease Control and Prevention. (2019, January 2). </w:t>
      </w:r>
      <w:r w:rsidRPr="00424ED6">
        <w:rPr>
          <w:rFonts w:asciiTheme="minorHAnsi" w:hAnsiTheme="minorHAnsi" w:cstheme="minorHAnsi"/>
          <w:i/>
          <w:iCs/>
          <w:sz w:val="22"/>
          <w:szCs w:val="22"/>
        </w:rPr>
        <w:t>The CDC policy process</w:t>
      </w:r>
      <w:r w:rsidRPr="00424ED6">
        <w:rPr>
          <w:rFonts w:asciiTheme="minorHAnsi" w:hAnsiTheme="minorHAnsi" w:cstheme="minorHAnsi"/>
          <w:sz w:val="22"/>
          <w:szCs w:val="22"/>
        </w:rPr>
        <w:t xml:space="preserve">. Centers for Disease Control and Prevention. Retrieved January 12, 2022, from </w:t>
      </w:r>
      <w:hyperlink r:id="rId18" w:history="1">
        <w:r w:rsidRPr="00424ED6">
          <w:rPr>
            <w:rStyle w:val="Hyperlink"/>
            <w:rFonts w:asciiTheme="minorHAnsi" w:hAnsiTheme="minorHAnsi" w:cstheme="minorHAnsi"/>
            <w:sz w:val="22"/>
            <w:szCs w:val="22"/>
          </w:rPr>
          <w:t>https://www.cdc.gov/policy/polaris/policyprocess/index.html</w:t>
        </w:r>
      </w:hyperlink>
      <w:r w:rsidRPr="00424ED6">
        <w:rPr>
          <w:rFonts w:asciiTheme="minorHAnsi" w:hAnsiTheme="minorHAnsi" w:cstheme="minorHAnsi"/>
          <w:sz w:val="22"/>
          <w:szCs w:val="22"/>
        </w:rPr>
        <w:t xml:space="preserve"> </w:t>
      </w:r>
    </w:p>
  </w:endnote>
  <w:endnote w:id="30">
    <w:p w14:paraId="30018948" w14:textId="77777777" w:rsidR="00E019FC" w:rsidRPr="00424ED6" w:rsidRDefault="00E019FC" w:rsidP="00696487">
      <w:pPr>
        <w:pStyle w:val="NormalWeb"/>
        <w:spacing w:before="0" w:beforeAutospacing="0" w:after="0" w:afterAutospacing="0"/>
        <w:ind w:left="567" w:hanging="567"/>
        <w:rPr>
          <w:rFonts w:asciiTheme="minorHAnsi" w:hAnsiTheme="minorHAnsi" w:cstheme="minorHAnsi"/>
          <w:sz w:val="22"/>
          <w:szCs w:val="22"/>
        </w:rPr>
      </w:pPr>
      <w:r w:rsidRPr="00424ED6">
        <w:rPr>
          <w:rStyle w:val="EndnoteReference"/>
          <w:rFonts w:asciiTheme="minorHAnsi" w:hAnsiTheme="minorHAnsi" w:cstheme="minorHAnsi"/>
          <w:sz w:val="22"/>
          <w:szCs w:val="22"/>
        </w:rPr>
        <w:endnoteRef/>
      </w:r>
      <w:r w:rsidRPr="00424ED6">
        <w:rPr>
          <w:rFonts w:asciiTheme="minorHAnsi" w:hAnsiTheme="minorHAnsi" w:cstheme="minorHAnsi"/>
          <w:sz w:val="22"/>
          <w:szCs w:val="22"/>
        </w:rPr>
        <w:t xml:space="preserve"> Centers for Disease Control and Prevention. (2019, January 2). </w:t>
      </w:r>
      <w:r w:rsidRPr="00424ED6">
        <w:rPr>
          <w:rFonts w:asciiTheme="minorHAnsi" w:hAnsiTheme="minorHAnsi" w:cstheme="minorHAnsi"/>
          <w:i/>
          <w:iCs/>
          <w:sz w:val="22"/>
          <w:szCs w:val="22"/>
        </w:rPr>
        <w:t>Problem identification</w:t>
      </w:r>
      <w:r w:rsidRPr="00424ED6">
        <w:rPr>
          <w:rFonts w:asciiTheme="minorHAnsi" w:hAnsiTheme="minorHAnsi" w:cstheme="minorHAnsi"/>
          <w:sz w:val="22"/>
          <w:szCs w:val="22"/>
        </w:rPr>
        <w:t xml:space="preserve">. Centers for Disease Control and Prevention. Retrieved January 12, 2022, from </w:t>
      </w:r>
      <w:hyperlink r:id="rId19" w:history="1">
        <w:r w:rsidRPr="00424ED6">
          <w:rPr>
            <w:rStyle w:val="Hyperlink"/>
            <w:rFonts w:asciiTheme="minorHAnsi" w:hAnsiTheme="minorHAnsi" w:cstheme="minorHAnsi"/>
            <w:sz w:val="22"/>
            <w:szCs w:val="22"/>
          </w:rPr>
          <w:t>https://www.cdc.gov/policy/polaris/policyprocess/problem-identification/index.html</w:t>
        </w:r>
      </w:hyperlink>
      <w:r w:rsidRPr="00424ED6">
        <w:rPr>
          <w:rFonts w:asciiTheme="minorHAnsi" w:hAnsiTheme="minorHAnsi" w:cstheme="minorHAnsi"/>
          <w:sz w:val="22"/>
          <w:szCs w:val="22"/>
        </w:rPr>
        <w:t xml:space="preserve"> </w:t>
      </w:r>
    </w:p>
  </w:endnote>
  <w:endnote w:id="31">
    <w:p w14:paraId="45FC4C39" w14:textId="77777777" w:rsidR="00E019FC" w:rsidRPr="00424ED6" w:rsidRDefault="00E019FC" w:rsidP="00696487">
      <w:pPr>
        <w:pStyle w:val="NormalWeb"/>
        <w:spacing w:before="0" w:beforeAutospacing="0" w:after="0" w:afterAutospacing="0"/>
        <w:ind w:left="567" w:hanging="567"/>
        <w:rPr>
          <w:rFonts w:asciiTheme="minorHAnsi" w:hAnsiTheme="minorHAnsi" w:cstheme="minorHAnsi"/>
          <w:sz w:val="22"/>
          <w:szCs w:val="22"/>
        </w:rPr>
      </w:pPr>
      <w:r w:rsidRPr="00424ED6">
        <w:rPr>
          <w:rStyle w:val="EndnoteReference"/>
          <w:rFonts w:asciiTheme="minorHAnsi" w:hAnsiTheme="minorHAnsi" w:cstheme="minorHAnsi"/>
          <w:sz w:val="22"/>
          <w:szCs w:val="22"/>
        </w:rPr>
        <w:endnoteRef/>
      </w:r>
      <w:r w:rsidRPr="00424ED6">
        <w:rPr>
          <w:rFonts w:asciiTheme="minorHAnsi" w:hAnsiTheme="minorHAnsi" w:cstheme="minorHAnsi"/>
          <w:sz w:val="22"/>
          <w:szCs w:val="22"/>
        </w:rPr>
        <w:t xml:space="preserve"> Centers for Disease Control and Prevention. (2021, March 5). </w:t>
      </w:r>
      <w:r w:rsidRPr="00424ED6">
        <w:rPr>
          <w:rFonts w:asciiTheme="minorHAnsi" w:hAnsiTheme="minorHAnsi" w:cstheme="minorHAnsi"/>
          <w:i/>
          <w:iCs/>
          <w:sz w:val="22"/>
          <w:szCs w:val="22"/>
        </w:rPr>
        <w:t>Strategy and policy development</w:t>
      </w:r>
      <w:r w:rsidRPr="00424ED6">
        <w:rPr>
          <w:rFonts w:asciiTheme="minorHAnsi" w:hAnsiTheme="minorHAnsi" w:cstheme="minorHAnsi"/>
          <w:sz w:val="22"/>
          <w:szCs w:val="22"/>
        </w:rPr>
        <w:t xml:space="preserve">. Centers for Disease Control and Prevention. Retrieved January 12, 2022, from </w:t>
      </w:r>
      <w:hyperlink r:id="rId20" w:history="1">
        <w:r w:rsidRPr="00424ED6">
          <w:rPr>
            <w:rStyle w:val="Hyperlink"/>
            <w:rFonts w:asciiTheme="minorHAnsi" w:hAnsiTheme="minorHAnsi" w:cstheme="minorHAnsi"/>
            <w:sz w:val="22"/>
            <w:szCs w:val="22"/>
          </w:rPr>
          <w:t>https://www.cdc.gov/policy/polaris/policyprocess/strategy-development/index.html</w:t>
        </w:r>
      </w:hyperlink>
      <w:r w:rsidRPr="00424ED6">
        <w:rPr>
          <w:rFonts w:asciiTheme="minorHAnsi" w:hAnsiTheme="minorHAnsi" w:cstheme="minorHAnsi"/>
          <w:sz w:val="22"/>
          <w:szCs w:val="22"/>
        </w:rPr>
        <w:t xml:space="preserve"> </w:t>
      </w:r>
    </w:p>
  </w:endnote>
  <w:endnote w:id="32">
    <w:p w14:paraId="7B0501F7" w14:textId="77777777" w:rsidR="00E019FC" w:rsidRPr="00424ED6" w:rsidRDefault="00E019FC" w:rsidP="00696487">
      <w:pPr>
        <w:pStyle w:val="NormalWeb"/>
        <w:spacing w:before="0" w:beforeAutospacing="0" w:after="0" w:afterAutospacing="0"/>
        <w:ind w:left="567" w:hanging="567"/>
        <w:rPr>
          <w:rFonts w:asciiTheme="minorHAnsi" w:hAnsiTheme="minorHAnsi" w:cstheme="minorHAnsi"/>
          <w:sz w:val="22"/>
          <w:szCs w:val="22"/>
        </w:rPr>
      </w:pPr>
      <w:r w:rsidRPr="00424ED6">
        <w:rPr>
          <w:rStyle w:val="EndnoteReference"/>
          <w:rFonts w:asciiTheme="minorHAnsi" w:hAnsiTheme="minorHAnsi" w:cstheme="minorHAnsi"/>
          <w:sz w:val="22"/>
          <w:szCs w:val="22"/>
        </w:rPr>
        <w:endnoteRef/>
      </w:r>
      <w:r w:rsidRPr="00424ED6">
        <w:rPr>
          <w:rFonts w:asciiTheme="minorHAnsi" w:hAnsiTheme="minorHAnsi" w:cstheme="minorHAnsi"/>
          <w:sz w:val="22"/>
          <w:szCs w:val="22"/>
        </w:rPr>
        <w:t xml:space="preserve"> Centers for Disease Control and Prevention. (2021, March 3). </w:t>
      </w:r>
      <w:r w:rsidRPr="00424ED6">
        <w:rPr>
          <w:rFonts w:asciiTheme="minorHAnsi" w:hAnsiTheme="minorHAnsi" w:cstheme="minorHAnsi"/>
          <w:i/>
          <w:iCs/>
          <w:sz w:val="22"/>
          <w:szCs w:val="22"/>
        </w:rPr>
        <w:t>Policy analysis</w:t>
      </w:r>
      <w:r w:rsidRPr="00424ED6">
        <w:rPr>
          <w:rFonts w:asciiTheme="minorHAnsi" w:hAnsiTheme="minorHAnsi" w:cstheme="minorHAnsi"/>
          <w:sz w:val="22"/>
          <w:szCs w:val="22"/>
        </w:rPr>
        <w:t xml:space="preserve">. Centers for Disease Control and Prevention. Retrieved January 12, 2022, from </w:t>
      </w:r>
      <w:hyperlink r:id="rId21" w:history="1">
        <w:r w:rsidRPr="00424ED6">
          <w:rPr>
            <w:rStyle w:val="Hyperlink"/>
            <w:rFonts w:asciiTheme="minorHAnsi" w:hAnsiTheme="minorHAnsi" w:cstheme="minorHAnsi"/>
            <w:sz w:val="22"/>
            <w:szCs w:val="22"/>
          </w:rPr>
          <w:t>https://www.cdc.gov/policy/polaris/policyprocess/policyanalysis/index.html</w:t>
        </w:r>
      </w:hyperlink>
      <w:r w:rsidRPr="00424ED6">
        <w:rPr>
          <w:rFonts w:asciiTheme="minorHAnsi" w:hAnsiTheme="minorHAnsi" w:cstheme="minorHAnsi"/>
          <w:sz w:val="22"/>
          <w:szCs w:val="22"/>
        </w:rPr>
        <w:t xml:space="preserve"> </w:t>
      </w:r>
    </w:p>
  </w:endnote>
  <w:endnote w:id="33">
    <w:p w14:paraId="0A296A14" w14:textId="77777777" w:rsidR="00696487" w:rsidRPr="00424ED6" w:rsidRDefault="00696487" w:rsidP="00696487">
      <w:pPr>
        <w:pStyle w:val="NormalWeb"/>
        <w:spacing w:before="0" w:beforeAutospacing="0" w:after="0" w:afterAutospacing="0"/>
        <w:ind w:left="567" w:hanging="567"/>
        <w:rPr>
          <w:rFonts w:asciiTheme="minorHAnsi" w:hAnsiTheme="minorHAnsi" w:cstheme="minorHAnsi"/>
          <w:sz w:val="22"/>
          <w:szCs w:val="22"/>
        </w:rPr>
      </w:pPr>
      <w:r w:rsidRPr="00424ED6">
        <w:rPr>
          <w:rStyle w:val="EndnoteReference"/>
          <w:rFonts w:asciiTheme="minorHAnsi" w:hAnsiTheme="minorHAnsi" w:cstheme="minorHAnsi"/>
          <w:sz w:val="22"/>
          <w:szCs w:val="22"/>
        </w:rPr>
        <w:endnoteRef/>
      </w:r>
      <w:r w:rsidRPr="00424ED6">
        <w:rPr>
          <w:rFonts w:asciiTheme="minorHAnsi" w:hAnsiTheme="minorHAnsi" w:cstheme="minorHAnsi"/>
          <w:sz w:val="22"/>
          <w:szCs w:val="22"/>
        </w:rPr>
        <w:t xml:space="preserve"> Centers for Disease Control and Prevention. (2021, March 5). </w:t>
      </w:r>
      <w:r w:rsidRPr="00424ED6">
        <w:rPr>
          <w:rFonts w:asciiTheme="minorHAnsi" w:hAnsiTheme="minorHAnsi" w:cstheme="minorHAnsi"/>
          <w:i/>
          <w:iCs/>
          <w:sz w:val="22"/>
          <w:szCs w:val="22"/>
        </w:rPr>
        <w:t>Policy enactment</w:t>
      </w:r>
      <w:r w:rsidRPr="00424ED6">
        <w:rPr>
          <w:rFonts w:asciiTheme="minorHAnsi" w:hAnsiTheme="minorHAnsi" w:cstheme="minorHAnsi"/>
          <w:sz w:val="22"/>
          <w:szCs w:val="22"/>
        </w:rPr>
        <w:t xml:space="preserve">. Centers for Disease Control and Prevention. Retrieved January 12, 2022, from </w:t>
      </w:r>
      <w:hyperlink r:id="rId22" w:history="1">
        <w:r w:rsidRPr="00424ED6">
          <w:rPr>
            <w:rStyle w:val="Hyperlink"/>
            <w:rFonts w:asciiTheme="minorHAnsi" w:hAnsiTheme="minorHAnsi" w:cstheme="minorHAnsi"/>
            <w:sz w:val="22"/>
            <w:szCs w:val="22"/>
          </w:rPr>
          <w:t>https://www.cdc.gov/policy/polaris/policyprocess/enactment/index.html</w:t>
        </w:r>
      </w:hyperlink>
      <w:r w:rsidRPr="00424ED6">
        <w:rPr>
          <w:rFonts w:asciiTheme="minorHAnsi" w:hAnsiTheme="minorHAnsi" w:cstheme="minorHAnsi"/>
          <w:sz w:val="22"/>
          <w:szCs w:val="22"/>
        </w:rPr>
        <w:t xml:space="preserve"> </w:t>
      </w:r>
    </w:p>
  </w:endnote>
  <w:endnote w:id="34">
    <w:p w14:paraId="71D732CA" w14:textId="77777777" w:rsidR="00696487" w:rsidRPr="00424ED6" w:rsidRDefault="00696487" w:rsidP="00696487">
      <w:pPr>
        <w:pStyle w:val="NormalWeb"/>
        <w:spacing w:before="0" w:beforeAutospacing="0" w:after="0" w:afterAutospacing="0"/>
        <w:ind w:left="567" w:hanging="567"/>
        <w:rPr>
          <w:rFonts w:asciiTheme="minorHAnsi" w:hAnsiTheme="minorHAnsi" w:cstheme="minorHAnsi"/>
          <w:sz w:val="22"/>
          <w:szCs w:val="22"/>
        </w:rPr>
      </w:pPr>
      <w:r w:rsidRPr="00424ED6">
        <w:rPr>
          <w:rStyle w:val="EndnoteReference"/>
          <w:rFonts w:asciiTheme="minorHAnsi" w:hAnsiTheme="minorHAnsi" w:cstheme="minorHAnsi"/>
          <w:sz w:val="22"/>
          <w:szCs w:val="22"/>
        </w:rPr>
        <w:endnoteRef/>
      </w:r>
      <w:r w:rsidRPr="00424ED6">
        <w:rPr>
          <w:rFonts w:asciiTheme="minorHAnsi" w:hAnsiTheme="minorHAnsi" w:cstheme="minorHAnsi"/>
          <w:sz w:val="22"/>
          <w:szCs w:val="22"/>
        </w:rPr>
        <w:t xml:space="preserve"> Centers for Disease Control and Prevention. (2021, March 5). </w:t>
      </w:r>
      <w:r w:rsidRPr="00424ED6">
        <w:rPr>
          <w:rFonts w:asciiTheme="minorHAnsi" w:hAnsiTheme="minorHAnsi" w:cstheme="minorHAnsi"/>
          <w:i/>
          <w:iCs/>
          <w:sz w:val="22"/>
          <w:szCs w:val="22"/>
        </w:rPr>
        <w:t>Policy implementation</w:t>
      </w:r>
      <w:r w:rsidRPr="00424ED6">
        <w:rPr>
          <w:rFonts w:asciiTheme="minorHAnsi" w:hAnsiTheme="minorHAnsi" w:cstheme="minorHAnsi"/>
          <w:sz w:val="22"/>
          <w:szCs w:val="22"/>
        </w:rPr>
        <w:t xml:space="preserve">. Centers for Disease Control and Prevention. Retrieved January 12, 2022, from </w:t>
      </w:r>
      <w:hyperlink r:id="rId23" w:history="1">
        <w:r w:rsidRPr="00424ED6">
          <w:rPr>
            <w:rStyle w:val="Hyperlink"/>
            <w:rFonts w:asciiTheme="minorHAnsi" w:hAnsiTheme="minorHAnsi" w:cstheme="minorHAnsi"/>
            <w:sz w:val="22"/>
            <w:szCs w:val="22"/>
          </w:rPr>
          <w:t>https://www.cdc.gov/policy/polaris/policyprocess/implementation/index.html</w:t>
        </w:r>
      </w:hyperlink>
      <w:r w:rsidRPr="00424ED6">
        <w:rPr>
          <w:rFonts w:asciiTheme="minorHAnsi" w:hAnsiTheme="minorHAnsi" w:cstheme="minorHAnsi"/>
          <w:sz w:val="22"/>
          <w:szCs w:val="22"/>
        </w:rPr>
        <w:t xml:space="preserve"> </w:t>
      </w:r>
    </w:p>
    <w:p w14:paraId="67C4720E" w14:textId="7DD6E80B" w:rsidR="00696487" w:rsidRDefault="00696487" w:rsidP="00696487">
      <w:pPr>
        <w:pStyle w:val="EndnoteText"/>
      </w:pPr>
    </w:p>
    <w:p w14:paraId="3890EAE7" w14:textId="2A9071F7" w:rsidR="00A91983" w:rsidRDefault="00A91983" w:rsidP="00696487">
      <w:pPr>
        <w:pStyle w:val="EndnoteText"/>
      </w:pPr>
    </w:p>
    <w:p w14:paraId="0270E69A" w14:textId="404B5B91" w:rsidR="00A91983" w:rsidRDefault="00A91983" w:rsidP="00696487">
      <w:pPr>
        <w:pStyle w:val="EndnoteText"/>
      </w:pPr>
    </w:p>
    <w:p w14:paraId="2604974E" w14:textId="192D5CB6" w:rsidR="00A91983" w:rsidRDefault="00A91983" w:rsidP="00696487">
      <w:pPr>
        <w:pStyle w:val="EndnoteText"/>
      </w:pPr>
    </w:p>
    <w:p w14:paraId="7C4A6FA1" w14:textId="4EA9788F" w:rsidR="00A91983" w:rsidRDefault="00A91983" w:rsidP="00696487">
      <w:pPr>
        <w:pStyle w:val="EndnoteText"/>
      </w:pPr>
    </w:p>
    <w:p w14:paraId="5682F691" w14:textId="7939F2BD" w:rsidR="00A91983" w:rsidRDefault="00A91983" w:rsidP="00696487">
      <w:pPr>
        <w:pStyle w:val="EndnoteText"/>
      </w:pPr>
    </w:p>
    <w:p w14:paraId="3F22233D" w14:textId="1BAEA844" w:rsidR="00A91983" w:rsidRDefault="00A91983" w:rsidP="00696487">
      <w:pPr>
        <w:pStyle w:val="EndnoteText"/>
      </w:pPr>
    </w:p>
    <w:p w14:paraId="1679E8A9" w14:textId="5DDF5876" w:rsidR="00A91983" w:rsidRDefault="00A91983" w:rsidP="00696487">
      <w:pPr>
        <w:pStyle w:val="EndnoteText"/>
      </w:pPr>
    </w:p>
    <w:p w14:paraId="5C518221" w14:textId="3DFA0EF8" w:rsidR="00A91983" w:rsidRDefault="00A91983" w:rsidP="00696487">
      <w:pPr>
        <w:pStyle w:val="EndnoteText"/>
      </w:pPr>
    </w:p>
    <w:p w14:paraId="3D1D17E9" w14:textId="202B1AFD" w:rsidR="00A91983" w:rsidRDefault="00A91983" w:rsidP="00696487">
      <w:pPr>
        <w:pStyle w:val="EndnoteText"/>
      </w:pPr>
    </w:p>
    <w:p w14:paraId="30B7317B" w14:textId="7EF1FFCA" w:rsidR="00A91983" w:rsidRDefault="00A91983" w:rsidP="00696487">
      <w:pPr>
        <w:pStyle w:val="EndnoteText"/>
      </w:pPr>
    </w:p>
    <w:p w14:paraId="24EEECDC" w14:textId="7D016CCA" w:rsidR="00A91983" w:rsidRDefault="00A91983" w:rsidP="00696487">
      <w:pPr>
        <w:pStyle w:val="EndnoteText"/>
      </w:pPr>
    </w:p>
    <w:p w14:paraId="3AB77C6A" w14:textId="2C2CD23D" w:rsidR="00A91983" w:rsidRDefault="00A91983" w:rsidP="00696487">
      <w:pPr>
        <w:pStyle w:val="EndnoteText"/>
      </w:pPr>
    </w:p>
    <w:p w14:paraId="4E8A3EEF" w14:textId="289D2952" w:rsidR="00A91983" w:rsidRDefault="00A91983" w:rsidP="00696487">
      <w:pPr>
        <w:pStyle w:val="EndnoteText"/>
      </w:pPr>
    </w:p>
    <w:p w14:paraId="3047081B" w14:textId="300EBB11" w:rsidR="00A91983" w:rsidRDefault="00A91983" w:rsidP="00696487">
      <w:pPr>
        <w:pStyle w:val="EndnoteText"/>
      </w:pPr>
    </w:p>
    <w:p w14:paraId="402B4B0D" w14:textId="57EAFD53" w:rsidR="00A91983" w:rsidRDefault="00A91983" w:rsidP="00696487">
      <w:pPr>
        <w:pStyle w:val="EndnoteText"/>
      </w:pPr>
    </w:p>
    <w:p w14:paraId="6D053D8E" w14:textId="7D1759B5" w:rsidR="00A91983" w:rsidRDefault="00A91983" w:rsidP="00696487">
      <w:pPr>
        <w:pStyle w:val="EndnoteText"/>
      </w:pPr>
    </w:p>
    <w:p w14:paraId="03D96EF7" w14:textId="4782B719" w:rsidR="00A91983" w:rsidRDefault="00A91983" w:rsidP="00696487">
      <w:pPr>
        <w:pStyle w:val="EndnoteText"/>
      </w:pPr>
    </w:p>
    <w:p w14:paraId="7CB70ADA" w14:textId="1528460F" w:rsidR="00A91983" w:rsidRDefault="00A91983" w:rsidP="00696487">
      <w:pPr>
        <w:pStyle w:val="EndnoteText"/>
      </w:pPr>
    </w:p>
    <w:p w14:paraId="4514607A" w14:textId="39C5F68C" w:rsidR="00A91983" w:rsidRDefault="00A91983" w:rsidP="00696487">
      <w:pPr>
        <w:pStyle w:val="EndnoteText"/>
      </w:pPr>
    </w:p>
    <w:p w14:paraId="7A90249C" w14:textId="06D96704" w:rsidR="00A91983" w:rsidRDefault="00A91983" w:rsidP="00696487">
      <w:pPr>
        <w:pStyle w:val="EndnoteText"/>
      </w:pPr>
    </w:p>
    <w:p w14:paraId="5D51BF1F" w14:textId="241DEAB8" w:rsidR="00A91983" w:rsidRDefault="00A91983" w:rsidP="00696487">
      <w:pPr>
        <w:pStyle w:val="EndnoteText"/>
      </w:pPr>
    </w:p>
    <w:p w14:paraId="2AC2623F" w14:textId="7E3FD6B6" w:rsidR="00A91983" w:rsidRDefault="00A91983" w:rsidP="00696487">
      <w:pPr>
        <w:pStyle w:val="EndnoteText"/>
      </w:pPr>
    </w:p>
    <w:p w14:paraId="721CFD6C" w14:textId="5D331B6F" w:rsidR="00A91983" w:rsidRDefault="00A91983" w:rsidP="00696487">
      <w:pPr>
        <w:pStyle w:val="EndnoteText"/>
      </w:pPr>
    </w:p>
    <w:p w14:paraId="0CB04D44" w14:textId="6290D84F" w:rsidR="00A91983" w:rsidRDefault="00A91983" w:rsidP="00696487">
      <w:pPr>
        <w:pStyle w:val="EndnoteText"/>
      </w:pPr>
    </w:p>
    <w:p w14:paraId="69C727C9" w14:textId="184E491A" w:rsidR="00A91983" w:rsidRDefault="00A91983" w:rsidP="00696487">
      <w:pPr>
        <w:pStyle w:val="EndnoteText"/>
      </w:pPr>
    </w:p>
    <w:p w14:paraId="0E572052" w14:textId="3F7FB445" w:rsidR="00A91983" w:rsidRDefault="00A91983" w:rsidP="00696487">
      <w:pPr>
        <w:pStyle w:val="EndnoteText"/>
      </w:pPr>
    </w:p>
    <w:p w14:paraId="213383AD" w14:textId="504F37B3" w:rsidR="00A91983" w:rsidRDefault="00A91983" w:rsidP="00696487">
      <w:pPr>
        <w:pStyle w:val="EndnoteText"/>
      </w:pPr>
    </w:p>
    <w:p w14:paraId="0A189C2E" w14:textId="6D2C557E" w:rsidR="00A91983" w:rsidRDefault="00A91983" w:rsidP="00696487">
      <w:pPr>
        <w:pStyle w:val="EndnoteText"/>
      </w:pPr>
    </w:p>
    <w:p w14:paraId="58D8B93C" w14:textId="0D471362" w:rsidR="00A91983" w:rsidRDefault="00A91983" w:rsidP="00696487">
      <w:pPr>
        <w:pStyle w:val="EndnoteText"/>
      </w:pPr>
    </w:p>
    <w:p w14:paraId="7ABF4F3E" w14:textId="18500A04" w:rsidR="00A91983" w:rsidRDefault="00A91983" w:rsidP="00696487">
      <w:pPr>
        <w:pStyle w:val="EndnoteText"/>
      </w:pPr>
    </w:p>
    <w:p w14:paraId="519D051B" w14:textId="0FD9CBDB" w:rsidR="00A91983" w:rsidRDefault="00A91983" w:rsidP="00696487">
      <w:pPr>
        <w:pStyle w:val="EndnoteText"/>
      </w:pPr>
    </w:p>
    <w:p w14:paraId="316E4B61" w14:textId="6F4E9244" w:rsidR="00A91983" w:rsidRDefault="00A91983" w:rsidP="00696487">
      <w:pPr>
        <w:pStyle w:val="EndnoteText"/>
      </w:pPr>
    </w:p>
    <w:p w14:paraId="344E263A" w14:textId="351D4BB9" w:rsidR="00A91983" w:rsidRDefault="00A91983" w:rsidP="00696487">
      <w:pPr>
        <w:pStyle w:val="EndnoteText"/>
      </w:pPr>
    </w:p>
    <w:p w14:paraId="3FEECB14" w14:textId="46F1940F" w:rsidR="00A91983" w:rsidRDefault="00A91983" w:rsidP="00696487">
      <w:pPr>
        <w:pStyle w:val="EndnoteText"/>
      </w:pPr>
    </w:p>
    <w:p w14:paraId="3CC9DC77" w14:textId="271B92FB" w:rsidR="00A91983" w:rsidRDefault="00A91983" w:rsidP="00696487">
      <w:pPr>
        <w:pStyle w:val="EndnoteText"/>
      </w:pPr>
    </w:p>
    <w:p w14:paraId="67E2612D" w14:textId="72B6EBD0" w:rsidR="00A91983" w:rsidRDefault="00A91983" w:rsidP="00696487">
      <w:pPr>
        <w:pStyle w:val="EndnoteText"/>
      </w:pPr>
    </w:p>
    <w:p w14:paraId="6E817D0D" w14:textId="78A74A8A" w:rsidR="00A91983" w:rsidRDefault="00A91983" w:rsidP="00696487">
      <w:pPr>
        <w:pStyle w:val="EndnoteText"/>
      </w:pPr>
    </w:p>
    <w:p w14:paraId="44E382D9" w14:textId="671F9C44" w:rsidR="00A91983" w:rsidRDefault="00A91983" w:rsidP="00696487">
      <w:pPr>
        <w:pStyle w:val="EndnoteText"/>
      </w:pPr>
    </w:p>
    <w:p w14:paraId="42BAC9F3" w14:textId="12E242AD" w:rsidR="00A91983" w:rsidRDefault="00A91983" w:rsidP="00696487">
      <w:pPr>
        <w:pStyle w:val="EndnoteText"/>
      </w:pPr>
    </w:p>
    <w:p w14:paraId="0D24A0B2" w14:textId="513588D5" w:rsidR="00A91983" w:rsidRDefault="00A91983" w:rsidP="00696487">
      <w:pPr>
        <w:pStyle w:val="EndnoteText"/>
      </w:pPr>
    </w:p>
    <w:p w14:paraId="0DCF27C0" w14:textId="5F34B874" w:rsidR="00A91983" w:rsidRDefault="00A91983" w:rsidP="00696487">
      <w:pPr>
        <w:pStyle w:val="EndnoteText"/>
      </w:pPr>
    </w:p>
    <w:p w14:paraId="049533D4" w14:textId="6AF1FEE4" w:rsidR="00A91983" w:rsidRDefault="00A91983" w:rsidP="00696487">
      <w:pPr>
        <w:pStyle w:val="EndnoteText"/>
      </w:pPr>
    </w:p>
    <w:p w14:paraId="60CC577A" w14:textId="22F541B0" w:rsidR="00A91983" w:rsidRDefault="00A91983" w:rsidP="00696487">
      <w:pPr>
        <w:pStyle w:val="EndnoteText"/>
      </w:pPr>
      <w:r>
        <w:t>Authors:</w:t>
      </w:r>
    </w:p>
    <w:p w14:paraId="35E5BE33" w14:textId="49BE8C62" w:rsidR="00A91983" w:rsidRDefault="00A91983" w:rsidP="00696487">
      <w:pPr>
        <w:pStyle w:val="EndnoteText"/>
      </w:pPr>
    </w:p>
    <w:p w14:paraId="2FCD687F" w14:textId="2DA3BC9B" w:rsidR="00A91983" w:rsidRDefault="00A91983" w:rsidP="00A91983">
      <w:pPr>
        <w:pStyle w:val="EndnoteText"/>
      </w:pPr>
      <w:r>
        <w:t>Mikki Meadows-Oliver, FAAN, PhD, RN, Clinical Professor, New York University</w:t>
      </w:r>
    </w:p>
    <w:p w14:paraId="7D874013" w14:textId="77777777" w:rsidR="00A91983" w:rsidRDefault="00A91983" w:rsidP="00A91983">
      <w:pPr>
        <w:pStyle w:val="EndnoteText"/>
      </w:pPr>
    </w:p>
    <w:p w14:paraId="762EAE05" w14:textId="48B21AD4" w:rsidR="00A91983" w:rsidRDefault="00A91983" w:rsidP="00A91983">
      <w:pPr>
        <w:pStyle w:val="EndnoteText"/>
      </w:pPr>
      <w:r>
        <w:t>Garrett Chan, PhD, RN, APRN, FAEN, FPCN, FCNS, FNAP, FAAN</w:t>
      </w:r>
      <w:r>
        <w:tab/>
        <w:t>, President &amp; CEO, HealthImpact</w:t>
      </w:r>
    </w:p>
    <w:p w14:paraId="73BC0FA7" w14:textId="77777777" w:rsidR="00A91983" w:rsidRDefault="00A91983" w:rsidP="00A91983">
      <w:pPr>
        <w:pStyle w:val="EndnoteText"/>
      </w:pPr>
    </w:p>
    <w:p w14:paraId="77D6E681" w14:textId="0157A6DE" w:rsidR="00A91983" w:rsidRDefault="00A91983" w:rsidP="00A91983">
      <w:pPr>
        <w:pStyle w:val="EndnoteText"/>
      </w:pPr>
      <w:r>
        <w:t>Nancy Rudner, DrPH, APRN, Associate Professor, University of Alabama Birmingham</w:t>
      </w:r>
    </w:p>
    <w:p w14:paraId="1AA93604" w14:textId="77777777" w:rsidR="00A91983" w:rsidRDefault="00A91983" w:rsidP="00A91983">
      <w:pPr>
        <w:pStyle w:val="EndnoteText"/>
      </w:pPr>
    </w:p>
    <w:p w14:paraId="2E1C6DFC" w14:textId="7947DD41" w:rsidR="00A91983" w:rsidRDefault="00A91983" w:rsidP="00A91983">
      <w:pPr>
        <w:pStyle w:val="EndnoteText"/>
      </w:pPr>
      <w:r>
        <w:t>Alex Hoyt, PhD, RN, Assistant Professor, MGH Institute of Health Professions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D481" w14:textId="77777777" w:rsidR="008060FA" w:rsidRDefault="008060FA" w:rsidP="00BA49B5">
      <w:pPr>
        <w:spacing w:after="0" w:line="240" w:lineRule="auto"/>
      </w:pPr>
      <w:r>
        <w:separator/>
      </w:r>
    </w:p>
  </w:footnote>
  <w:footnote w:type="continuationSeparator" w:id="0">
    <w:p w14:paraId="537DA52C" w14:textId="77777777" w:rsidR="008060FA" w:rsidRDefault="008060FA" w:rsidP="00BA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C53"/>
    <w:multiLevelType w:val="hybridMultilevel"/>
    <w:tmpl w:val="29949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574A2"/>
    <w:multiLevelType w:val="hybridMultilevel"/>
    <w:tmpl w:val="8B2EE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B80B8D"/>
    <w:multiLevelType w:val="hybridMultilevel"/>
    <w:tmpl w:val="458C5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3C4A0A"/>
    <w:multiLevelType w:val="hybridMultilevel"/>
    <w:tmpl w:val="10000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AC5C69"/>
    <w:multiLevelType w:val="hybridMultilevel"/>
    <w:tmpl w:val="4C04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E82157"/>
    <w:multiLevelType w:val="hybridMultilevel"/>
    <w:tmpl w:val="5F1AC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207B77"/>
    <w:multiLevelType w:val="hybridMultilevel"/>
    <w:tmpl w:val="8EB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B1224"/>
    <w:multiLevelType w:val="hybridMultilevel"/>
    <w:tmpl w:val="4DEC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93A3D"/>
    <w:multiLevelType w:val="hybridMultilevel"/>
    <w:tmpl w:val="D550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016CB"/>
    <w:multiLevelType w:val="hybridMultilevel"/>
    <w:tmpl w:val="0C9AD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9555940">
    <w:abstractNumId w:val="7"/>
  </w:num>
  <w:num w:numId="2" w16cid:durableId="1531646485">
    <w:abstractNumId w:val="2"/>
  </w:num>
  <w:num w:numId="3" w16cid:durableId="62804260">
    <w:abstractNumId w:val="5"/>
  </w:num>
  <w:num w:numId="4" w16cid:durableId="244144980">
    <w:abstractNumId w:val="1"/>
  </w:num>
  <w:num w:numId="5" w16cid:durableId="708460364">
    <w:abstractNumId w:val="3"/>
  </w:num>
  <w:num w:numId="6" w16cid:durableId="1771730714">
    <w:abstractNumId w:val="9"/>
  </w:num>
  <w:num w:numId="7" w16cid:durableId="1261254761">
    <w:abstractNumId w:val="4"/>
  </w:num>
  <w:num w:numId="8" w16cid:durableId="1563757869">
    <w:abstractNumId w:val="0"/>
  </w:num>
  <w:num w:numId="9" w16cid:durableId="2134784156">
    <w:abstractNumId w:val="6"/>
  </w:num>
  <w:num w:numId="10" w16cid:durableId="21528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62"/>
    <w:rsid w:val="00007BC1"/>
    <w:rsid w:val="00010D8B"/>
    <w:rsid w:val="000121FE"/>
    <w:rsid w:val="00012B08"/>
    <w:rsid w:val="000130DF"/>
    <w:rsid w:val="00026746"/>
    <w:rsid w:val="00030561"/>
    <w:rsid w:val="0007054F"/>
    <w:rsid w:val="00077406"/>
    <w:rsid w:val="00081B42"/>
    <w:rsid w:val="00083922"/>
    <w:rsid w:val="000944A5"/>
    <w:rsid w:val="000978CE"/>
    <w:rsid w:val="000B5500"/>
    <w:rsid w:val="000B7DB4"/>
    <w:rsid w:val="000C1D9E"/>
    <w:rsid w:val="000C47A7"/>
    <w:rsid w:val="000D5DC9"/>
    <w:rsid w:val="000D629A"/>
    <w:rsid w:val="000E0339"/>
    <w:rsid w:val="000E0B5C"/>
    <w:rsid w:val="000E2940"/>
    <w:rsid w:val="000E513F"/>
    <w:rsid w:val="000F3CD6"/>
    <w:rsid w:val="000F4797"/>
    <w:rsid w:val="001032B4"/>
    <w:rsid w:val="001060A6"/>
    <w:rsid w:val="001126C6"/>
    <w:rsid w:val="00117590"/>
    <w:rsid w:val="001362AD"/>
    <w:rsid w:val="00137D9C"/>
    <w:rsid w:val="00137DCC"/>
    <w:rsid w:val="00145324"/>
    <w:rsid w:val="0015495C"/>
    <w:rsid w:val="00157657"/>
    <w:rsid w:val="00161303"/>
    <w:rsid w:val="00162482"/>
    <w:rsid w:val="00162BEB"/>
    <w:rsid w:val="00164D7F"/>
    <w:rsid w:val="001860BB"/>
    <w:rsid w:val="001948EF"/>
    <w:rsid w:val="00196301"/>
    <w:rsid w:val="001A2B50"/>
    <w:rsid w:val="001A2C18"/>
    <w:rsid w:val="001A371B"/>
    <w:rsid w:val="001A6457"/>
    <w:rsid w:val="001B0043"/>
    <w:rsid w:val="001B582B"/>
    <w:rsid w:val="001C6833"/>
    <w:rsid w:val="001C73F0"/>
    <w:rsid w:val="001E4B03"/>
    <w:rsid w:val="001E6994"/>
    <w:rsid w:val="001F13AC"/>
    <w:rsid w:val="001F25DC"/>
    <w:rsid w:val="001F3027"/>
    <w:rsid w:val="001F3C54"/>
    <w:rsid w:val="001F4C94"/>
    <w:rsid w:val="00202F14"/>
    <w:rsid w:val="00212696"/>
    <w:rsid w:val="00242E64"/>
    <w:rsid w:val="00251AD8"/>
    <w:rsid w:val="00262B6F"/>
    <w:rsid w:val="00286C24"/>
    <w:rsid w:val="002905AF"/>
    <w:rsid w:val="00293397"/>
    <w:rsid w:val="002934AF"/>
    <w:rsid w:val="0029498C"/>
    <w:rsid w:val="002A61CD"/>
    <w:rsid w:val="002B0737"/>
    <w:rsid w:val="002B10F9"/>
    <w:rsid w:val="002B15CE"/>
    <w:rsid w:val="002B52F4"/>
    <w:rsid w:val="002C0D4A"/>
    <w:rsid w:val="002D33A4"/>
    <w:rsid w:val="002D7B2C"/>
    <w:rsid w:val="002E0459"/>
    <w:rsid w:val="002E1271"/>
    <w:rsid w:val="002F3896"/>
    <w:rsid w:val="002F4662"/>
    <w:rsid w:val="003009BA"/>
    <w:rsid w:val="00307DC7"/>
    <w:rsid w:val="00313072"/>
    <w:rsid w:val="00313A3A"/>
    <w:rsid w:val="00316242"/>
    <w:rsid w:val="0033415B"/>
    <w:rsid w:val="003412D1"/>
    <w:rsid w:val="0034502E"/>
    <w:rsid w:val="0034519A"/>
    <w:rsid w:val="0034529E"/>
    <w:rsid w:val="00352D94"/>
    <w:rsid w:val="00360C61"/>
    <w:rsid w:val="0036240E"/>
    <w:rsid w:val="0036619F"/>
    <w:rsid w:val="00381087"/>
    <w:rsid w:val="00383F64"/>
    <w:rsid w:val="003841B8"/>
    <w:rsid w:val="00386698"/>
    <w:rsid w:val="003871B3"/>
    <w:rsid w:val="00393FD0"/>
    <w:rsid w:val="0039479F"/>
    <w:rsid w:val="00396227"/>
    <w:rsid w:val="00396CB3"/>
    <w:rsid w:val="00397788"/>
    <w:rsid w:val="003A41D5"/>
    <w:rsid w:val="003A6154"/>
    <w:rsid w:val="003C302E"/>
    <w:rsid w:val="003C7BA4"/>
    <w:rsid w:val="003D2D7E"/>
    <w:rsid w:val="003D4AEC"/>
    <w:rsid w:val="003D6A25"/>
    <w:rsid w:val="003D6A53"/>
    <w:rsid w:val="003E2BD7"/>
    <w:rsid w:val="003E5FD6"/>
    <w:rsid w:val="003F1470"/>
    <w:rsid w:val="00410B49"/>
    <w:rsid w:val="0042033B"/>
    <w:rsid w:val="0042251A"/>
    <w:rsid w:val="0044727A"/>
    <w:rsid w:val="004666F4"/>
    <w:rsid w:val="00467C63"/>
    <w:rsid w:val="00473162"/>
    <w:rsid w:val="00475A43"/>
    <w:rsid w:val="0048385F"/>
    <w:rsid w:val="00484369"/>
    <w:rsid w:val="004909A0"/>
    <w:rsid w:val="00491733"/>
    <w:rsid w:val="0049309E"/>
    <w:rsid w:val="00495687"/>
    <w:rsid w:val="004A48DF"/>
    <w:rsid w:val="004B0112"/>
    <w:rsid w:val="004B2F2F"/>
    <w:rsid w:val="004C4865"/>
    <w:rsid w:val="004D32A2"/>
    <w:rsid w:val="004D518B"/>
    <w:rsid w:val="004E0882"/>
    <w:rsid w:val="004E4F17"/>
    <w:rsid w:val="004F4330"/>
    <w:rsid w:val="005110DD"/>
    <w:rsid w:val="00516021"/>
    <w:rsid w:val="00525224"/>
    <w:rsid w:val="0052719B"/>
    <w:rsid w:val="00530B55"/>
    <w:rsid w:val="005361B8"/>
    <w:rsid w:val="00537FF7"/>
    <w:rsid w:val="0054001E"/>
    <w:rsid w:val="0054026C"/>
    <w:rsid w:val="00547488"/>
    <w:rsid w:val="00552225"/>
    <w:rsid w:val="005539F8"/>
    <w:rsid w:val="00555746"/>
    <w:rsid w:val="00564862"/>
    <w:rsid w:val="00573EB3"/>
    <w:rsid w:val="005A0EAF"/>
    <w:rsid w:val="005A1365"/>
    <w:rsid w:val="005A5989"/>
    <w:rsid w:val="005B05A5"/>
    <w:rsid w:val="005B200E"/>
    <w:rsid w:val="005B72BC"/>
    <w:rsid w:val="005C018A"/>
    <w:rsid w:val="005D3E6D"/>
    <w:rsid w:val="005D40B2"/>
    <w:rsid w:val="005D78DC"/>
    <w:rsid w:val="005F4979"/>
    <w:rsid w:val="00600C1F"/>
    <w:rsid w:val="00613BAF"/>
    <w:rsid w:val="00616BED"/>
    <w:rsid w:val="006228A6"/>
    <w:rsid w:val="00627F75"/>
    <w:rsid w:val="00632886"/>
    <w:rsid w:val="00635876"/>
    <w:rsid w:val="0066057D"/>
    <w:rsid w:val="00660F12"/>
    <w:rsid w:val="00664995"/>
    <w:rsid w:val="00671BCF"/>
    <w:rsid w:val="00675B11"/>
    <w:rsid w:val="00676287"/>
    <w:rsid w:val="0068260B"/>
    <w:rsid w:val="00683CAD"/>
    <w:rsid w:val="00686764"/>
    <w:rsid w:val="00696487"/>
    <w:rsid w:val="006B1018"/>
    <w:rsid w:val="006B639B"/>
    <w:rsid w:val="006D0F10"/>
    <w:rsid w:val="006D4E24"/>
    <w:rsid w:val="006D660B"/>
    <w:rsid w:val="006E14BA"/>
    <w:rsid w:val="006E6F3B"/>
    <w:rsid w:val="006F138A"/>
    <w:rsid w:val="00706F62"/>
    <w:rsid w:val="007111B7"/>
    <w:rsid w:val="007276CF"/>
    <w:rsid w:val="007278D4"/>
    <w:rsid w:val="0073595D"/>
    <w:rsid w:val="00736586"/>
    <w:rsid w:val="00760026"/>
    <w:rsid w:val="00770F87"/>
    <w:rsid w:val="00781C2A"/>
    <w:rsid w:val="007843E9"/>
    <w:rsid w:val="007870EE"/>
    <w:rsid w:val="007A1562"/>
    <w:rsid w:val="007A6AA4"/>
    <w:rsid w:val="007B5230"/>
    <w:rsid w:val="007B5A19"/>
    <w:rsid w:val="007C3AF0"/>
    <w:rsid w:val="007C60A3"/>
    <w:rsid w:val="007D7051"/>
    <w:rsid w:val="007F51C0"/>
    <w:rsid w:val="007F5A06"/>
    <w:rsid w:val="0080135E"/>
    <w:rsid w:val="008060FA"/>
    <w:rsid w:val="00820EC5"/>
    <w:rsid w:val="00827CAF"/>
    <w:rsid w:val="0084013F"/>
    <w:rsid w:val="00847618"/>
    <w:rsid w:val="00853654"/>
    <w:rsid w:val="0086181D"/>
    <w:rsid w:val="00861852"/>
    <w:rsid w:val="008627C3"/>
    <w:rsid w:val="008645BB"/>
    <w:rsid w:val="0086641A"/>
    <w:rsid w:val="00872E8A"/>
    <w:rsid w:val="00880809"/>
    <w:rsid w:val="00884989"/>
    <w:rsid w:val="00886DFE"/>
    <w:rsid w:val="00887004"/>
    <w:rsid w:val="0089338A"/>
    <w:rsid w:val="00893519"/>
    <w:rsid w:val="0089437B"/>
    <w:rsid w:val="008A60ED"/>
    <w:rsid w:val="008B415D"/>
    <w:rsid w:val="008B6A95"/>
    <w:rsid w:val="008C18CC"/>
    <w:rsid w:val="008C2C6D"/>
    <w:rsid w:val="008C4340"/>
    <w:rsid w:val="008C50C4"/>
    <w:rsid w:val="008D549E"/>
    <w:rsid w:val="008D5B20"/>
    <w:rsid w:val="008E766A"/>
    <w:rsid w:val="008F0DCF"/>
    <w:rsid w:val="008F42A4"/>
    <w:rsid w:val="008F7A70"/>
    <w:rsid w:val="0092317E"/>
    <w:rsid w:val="0092703E"/>
    <w:rsid w:val="00933ADC"/>
    <w:rsid w:val="00934A35"/>
    <w:rsid w:val="00937D17"/>
    <w:rsid w:val="00954850"/>
    <w:rsid w:val="00955364"/>
    <w:rsid w:val="00961B77"/>
    <w:rsid w:val="009627E3"/>
    <w:rsid w:val="009639DF"/>
    <w:rsid w:val="0096736F"/>
    <w:rsid w:val="00967CBE"/>
    <w:rsid w:val="00971F6F"/>
    <w:rsid w:val="00984E08"/>
    <w:rsid w:val="009920D5"/>
    <w:rsid w:val="00993C29"/>
    <w:rsid w:val="009C347B"/>
    <w:rsid w:val="009C4F2C"/>
    <w:rsid w:val="009D5D22"/>
    <w:rsid w:val="009E093A"/>
    <w:rsid w:val="009E3BC4"/>
    <w:rsid w:val="009E628B"/>
    <w:rsid w:val="009F3F16"/>
    <w:rsid w:val="00A1131C"/>
    <w:rsid w:val="00A114CE"/>
    <w:rsid w:val="00A164B5"/>
    <w:rsid w:val="00A20C36"/>
    <w:rsid w:val="00A2275F"/>
    <w:rsid w:val="00A32FD1"/>
    <w:rsid w:val="00A33677"/>
    <w:rsid w:val="00A34FC3"/>
    <w:rsid w:val="00A40638"/>
    <w:rsid w:val="00A40859"/>
    <w:rsid w:val="00A52A5B"/>
    <w:rsid w:val="00A545E2"/>
    <w:rsid w:val="00A569E0"/>
    <w:rsid w:val="00A56E94"/>
    <w:rsid w:val="00A60926"/>
    <w:rsid w:val="00A62FA6"/>
    <w:rsid w:val="00A810B5"/>
    <w:rsid w:val="00A83F45"/>
    <w:rsid w:val="00A87973"/>
    <w:rsid w:val="00A91983"/>
    <w:rsid w:val="00A928BA"/>
    <w:rsid w:val="00A93B8E"/>
    <w:rsid w:val="00A972D7"/>
    <w:rsid w:val="00A9776D"/>
    <w:rsid w:val="00A97796"/>
    <w:rsid w:val="00AB19AC"/>
    <w:rsid w:val="00AC402C"/>
    <w:rsid w:val="00AC6010"/>
    <w:rsid w:val="00AE23AE"/>
    <w:rsid w:val="00AE2F9A"/>
    <w:rsid w:val="00AE7F7F"/>
    <w:rsid w:val="00AF62CA"/>
    <w:rsid w:val="00B03970"/>
    <w:rsid w:val="00B03D94"/>
    <w:rsid w:val="00B10433"/>
    <w:rsid w:val="00B113E4"/>
    <w:rsid w:val="00B17C35"/>
    <w:rsid w:val="00B21836"/>
    <w:rsid w:val="00B258CE"/>
    <w:rsid w:val="00B3176A"/>
    <w:rsid w:val="00B3400D"/>
    <w:rsid w:val="00B37B3B"/>
    <w:rsid w:val="00B43227"/>
    <w:rsid w:val="00B500F1"/>
    <w:rsid w:val="00B551C9"/>
    <w:rsid w:val="00B745E8"/>
    <w:rsid w:val="00B746DD"/>
    <w:rsid w:val="00B76099"/>
    <w:rsid w:val="00B76C74"/>
    <w:rsid w:val="00B823EA"/>
    <w:rsid w:val="00B86055"/>
    <w:rsid w:val="00BA382F"/>
    <w:rsid w:val="00BA49B5"/>
    <w:rsid w:val="00BA5DFF"/>
    <w:rsid w:val="00BC1868"/>
    <w:rsid w:val="00BC417C"/>
    <w:rsid w:val="00BE416F"/>
    <w:rsid w:val="00BE502B"/>
    <w:rsid w:val="00BF1E36"/>
    <w:rsid w:val="00C00439"/>
    <w:rsid w:val="00C06517"/>
    <w:rsid w:val="00C0773C"/>
    <w:rsid w:val="00C213A1"/>
    <w:rsid w:val="00C26254"/>
    <w:rsid w:val="00C310E2"/>
    <w:rsid w:val="00C310E3"/>
    <w:rsid w:val="00C34C3F"/>
    <w:rsid w:val="00C4491C"/>
    <w:rsid w:val="00C51656"/>
    <w:rsid w:val="00C52F47"/>
    <w:rsid w:val="00C53FD0"/>
    <w:rsid w:val="00C54556"/>
    <w:rsid w:val="00C5705A"/>
    <w:rsid w:val="00C61F7A"/>
    <w:rsid w:val="00C63F78"/>
    <w:rsid w:val="00C70C6E"/>
    <w:rsid w:val="00C810F1"/>
    <w:rsid w:val="00C82DA1"/>
    <w:rsid w:val="00C90D0C"/>
    <w:rsid w:val="00C9424F"/>
    <w:rsid w:val="00C978A6"/>
    <w:rsid w:val="00CA1EFE"/>
    <w:rsid w:val="00CA2042"/>
    <w:rsid w:val="00CB5C1F"/>
    <w:rsid w:val="00CC1F21"/>
    <w:rsid w:val="00CC2CDC"/>
    <w:rsid w:val="00CC54D0"/>
    <w:rsid w:val="00CD475D"/>
    <w:rsid w:val="00CD559F"/>
    <w:rsid w:val="00CE4A71"/>
    <w:rsid w:val="00CF4146"/>
    <w:rsid w:val="00D0211F"/>
    <w:rsid w:val="00D043A3"/>
    <w:rsid w:val="00D32735"/>
    <w:rsid w:val="00D4043E"/>
    <w:rsid w:val="00D43221"/>
    <w:rsid w:val="00D4777F"/>
    <w:rsid w:val="00D50A60"/>
    <w:rsid w:val="00D526CD"/>
    <w:rsid w:val="00D61B21"/>
    <w:rsid w:val="00D632D1"/>
    <w:rsid w:val="00D66962"/>
    <w:rsid w:val="00D673A0"/>
    <w:rsid w:val="00D73C2C"/>
    <w:rsid w:val="00D742A1"/>
    <w:rsid w:val="00D76C16"/>
    <w:rsid w:val="00D853B5"/>
    <w:rsid w:val="00D8775F"/>
    <w:rsid w:val="00DB4C00"/>
    <w:rsid w:val="00DC158D"/>
    <w:rsid w:val="00DC3007"/>
    <w:rsid w:val="00DC3CF9"/>
    <w:rsid w:val="00DD1E6C"/>
    <w:rsid w:val="00DD6179"/>
    <w:rsid w:val="00DE32CC"/>
    <w:rsid w:val="00E019FC"/>
    <w:rsid w:val="00E0570C"/>
    <w:rsid w:val="00E11293"/>
    <w:rsid w:val="00E13F92"/>
    <w:rsid w:val="00E15CA5"/>
    <w:rsid w:val="00E345C9"/>
    <w:rsid w:val="00E351E4"/>
    <w:rsid w:val="00E36533"/>
    <w:rsid w:val="00E37A45"/>
    <w:rsid w:val="00E37E70"/>
    <w:rsid w:val="00E44D73"/>
    <w:rsid w:val="00E45BF7"/>
    <w:rsid w:val="00E51524"/>
    <w:rsid w:val="00E60EF6"/>
    <w:rsid w:val="00E72A6B"/>
    <w:rsid w:val="00E85660"/>
    <w:rsid w:val="00E94556"/>
    <w:rsid w:val="00E95E8A"/>
    <w:rsid w:val="00EA3EC6"/>
    <w:rsid w:val="00EB41B8"/>
    <w:rsid w:val="00EC7FF6"/>
    <w:rsid w:val="00ED1676"/>
    <w:rsid w:val="00ED2E0B"/>
    <w:rsid w:val="00ED6899"/>
    <w:rsid w:val="00EE10CE"/>
    <w:rsid w:val="00EE4964"/>
    <w:rsid w:val="00F031FF"/>
    <w:rsid w:val="00F04CB9"/>
    <w:rsid w:val="00F079B1"/>
    <w:rsid w:val="00F11E8A"/>
    <w:rsid w:val="00F16398"/>
    <w:rsid w:val="00F23734"/>
    <w:rsid w:val="00F2450D"/>
    <w:rsid w:val="00F364AF"/>
    <w:rsid w:val="00F5278D"/>
    <w:rsid w:val="00F64E6C"/>
    <w:rsid w:val="00F73F22"/>
    <w:rsid w:val="00F94FEE"/>
    <w:rsid w:val="00F9682B"/>
    <w:rsid w:val="00F9769A"/>
    <w:rsid w:val="00FA782B"/>
    <w:rsid w:val="00FB1FE5"/>
    <w:rsid w:val="00FB2023"/>
    <w:rsid w:val="00FB31ED"/>
    <w:rsid w:val="00FD0303"/>
    <w:rsid w:val="00FD21C6"/>
    <w:rsid w:val="00FD5897"/>
    <w:rsid w:val="00FE1D4E"/>
    <w:rsid w:val="00FF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BCFE"/>
  <w15:chartTrackingRefBased/>
  <w15:docId w15:val="{10584D2C-7154-48D4-85C6-CBEFB13F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5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1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C3"/>
    <w:pPr>
      <w:ind w:left="720"/>
      <w:contextualSpacing/>
    </w:pPr>
  </w:style>
  <w:style w:type="character" w:styleId="CommentReference">
    <w:name w:val="annotation reference"/>
    <w:basedOn w:val="DefaultParagraphFont"/>
    <w:uiPriority w:val="99"/>
    <w:semiHidden/>
    <w:unhideWhenUsed/>
    <w:rsid w:val="00EE4964"/>
    <w:rPr>
      <w:sz w:val="16"/>
      <w:szCs w:val="16"/>
    </w:rPr>
  </w:style>
  <w:style w:type="paragraph" w:styleId="CommentText">
    <w:name w:val="annotation text"/>
    <w:basedOn w:val="Normal"/>
    <w:link w:val="CommentTextChar"/>
    <w:uiPriority w:val="99"/>
    <w:semiHidden/>
    <w:unhideWhenUsed/>
    <w:rsid w:val="00EE4964"/>
    <w:pPr>
      <w:spacing w:line="240" w:lineRule="auto"/>
    </w:pPr>
    <w:rPr>
      <w:sz w:val="20"/>
      <w:szCs w:val="20"/>
    </w:rPr>
  </w:style>
  <w:style w:type="character" w:customStyle="1" w:styleId="CommentTextChar">
    <w:name w:val="Comment Text Char"/>
    <w:basedOn w:val="DefaultParagraphFont"/>
    <w:link w:val="CommentText"/>
    <w:uiPriority w:val="99"/>
    <w:semiHidden/>
    <w:rsid w:val="00EE4964"/>
    <w:rPr>
      <w:sz w:val="20"/>
      <w:szCs w:val="20"/>
    </w:rPr>
  </w:style>
  <w:style w:type="paragraph" w:styleId="CommentSubject">
    <w:name w:val="annotation subject"/>
    <w:basedOn w:val="CommentText"/>
    <w:next w:val="CommentText"/>
    <w:link w:val="CommentSubjectChar"/>
    <w:uiPriority w:val="99"/>
    <w:semiHidden/>
    <w:unhideWhenUsed/>
    <w:rsid w:val="00EE4964"/>
    <w:rPr>
      <w:b/>
      <w:bCs/>
    </w:rPr>
  </w:style>
  <w:style w:type="character" w:customStyle="1" w:styleId="CommentSubjectChar">
    <w:name w:val="Comment Subject Char"/>
    <w:basedOn w:val="CommentTextChar"/>
    <w:link w:val="CommentSubject"/>
    <w:uiPriority w:val="99"/>
    <w:semiHidden/>
    <w:rsid w:val="00EE4964"/>
    <w:rPr>
      <w:b/>
      <w:bCs/>
      <w:sz w:val="20"/>
      <w:szCs w:val="20"/>
    </w:rPr>
  </w:style>
  <w:style w:type="character" w:styleId="Hyperlink">
    <w:name w:val="Hyperlink"/>
    <w:basedOn w:val="DefaultParagraphFont"/>
    <w:uiPriority w:val="99"/>
    <w:unhideWhenUsed/>
    <w:rsid w:val="007B5A19"/>
    <w:rPr>
      <w:color w:val="0563C1" w:themeColor="hyperlink"/>
      <w:u w:val="single"/>
    </w:rPr>
  </w:style>
  <w:style w:type="character" w:styleId="UnresolvedMention">
    <w:name w:val="Unresolved Mention"/>
    <w:basedOn w:val="DefaultParagraphFont"/>
    <w:uiPriority w:val="99"/>
    <w:semiHidden/>
    <w:unhideWhenUsed/>
    <w:rsid w:val="007B5A19"/>
    <w:rPr>
      <w:color w:val="605E5C"/>
      <w:shd w:val="clear" w:color="auto" w:fill="E1DFDD"/>
    </w:rPr>
  </w:style>
  <w:style w:type="character" w:styleId="FollowedHyperlink">
    <w:name w:val="FollowedHyperlink"/>
    <w:basedOn w:val="DefaultParagraphFont"/>
    <w:uiPriority w:val="99"/>
    <w:semiHidden/>
    <w:unhideWhenUsed/>
    <w:rsid w:val="007B5A19"/>
    <w:rPr>
      <w:color w:val="954F72" w:themeColor="followedHyperlink"/>
      <w:u w:val="single"/>
    </w:rPr>
  </w:style>
  <w:style w:type="paragraph" w:styleId="Revision">
    <w:name w:val="Revision"/>
    <w:hidden/>
    <w:uiPriority w:val="99"/>
    <w:semiHidden/>
    <w:rsid w:val="00E95E8A"/>
    <w:pPr>
      <w:spacing w:after="0" w:line="240" w:lineRule="auto"/>
    </w:pPr>
  </w:style>
  <w:style w:type="character" w:customStyle="1" w:styleId="Heading1Char">
    <w:name w:val="Heading 1 Char"/>
    <w:basedOn w:val="DefaultParagraphFont"/>
    <w:link w:val="Heading1"/>
    <w:uiPriority w:val="9"/>
    <w:rsid w:val="004225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A1EFE"/>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BA49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49B5"/>
    <w:rPr>
      <w:sz w:val="20"/>
      <w:szCs w:val="20"/>
    </w:rPr>
  </w:style>
  <w:style w:type="character" w:styleId="EndnoteReference">
    <w:name w:val="endnote reference"/>
    <w:basedOn w:val="DefaultParagraphFont"/>
    <w:uiPriority w:val="99"/>
    <w:semiHidden/>
    <w:unhideWhenUsed/>
    <w:rsid w:val="00BA49B5"/>
    <w:rPr>
      <w:vertAlign w:val="superscript"/>
    </w:rPr>
  </w:style>
  <w:style w:type="paragraph" w:styleId="NormalWeb">
    <w:name w:val="Normal (Web)"/>
    <w:basedOn w:val="Normal"/>
    <w:uiPriority w:val="99"/>
    <w:unhideWhenUsed/>
    <w:rsid w:val="00971F6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9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6055"/>
    <w:pPr>
      <w:spacing w:after="0" w:line="240" w:lineRule="auto"/>
    </w:pPr>
    <w:rPr>
      <w:rFonts w:ascii="Calibri" w:hAnsi="Calibri" w:cs="Calibri"/>
    </w:rPr>
  </w:style>
  <w:style w:type="character" w:customStyle="1" w:styleId="normaltextrun">
    <w:name w:val="normaltextrun"/>
    <w:basedOn w:val="DefaultParagraphFont"/>
    <w:rsid w:val="00B86055"/>
  </w:style>
  <w:style w:type="character" w:customStyle="1" w:styleId="eop">
    <w:name w:val="eop"/>
    <w:basedOn w:val="DefaultParagraphFont"/>
    <w:rsid w:val="00B86055"/>
  </w:style>
  <w:style w:type="character" w:customStyle="1" w:styleId="scxw109849479">
    <w:name w:val="scxw109849479"/>
    <w:basedOn w:val="DefaultParagraphFont"/>
    <w:rsid w:val="00B86055"/>
  </w:style>
  <w:style w:type="paragraph" w:styleId="Title">
    <w:name w:val="Title"/>
    <w:basedOn w:val="Normal"/>
    <w:next w:val="Normal"/>
    <w:link w:val="TitleChar"/>
    <w:uiPriority w:val="10"/>
    <w:qFormat/>
    <w:rsid w:val="005110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0D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54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6664">
      <w:bodyDiv w:val="1"/>
      <w:marLeft w:val="0"/>
      <w:marRight w:val="0"/>
      <w:marTop w:val="0"/>
      <w:marBottom w:val="0"/>
      <w:divBdr>
        <w:top w:val="none" w:sz="0" w:space="0" w:color="auto"/>
        <w:left w:val="none" w:sz="0" w:space="0" w:color="auto"/>
        <w:bottom w:val="none" w:sz="0" w:space="0" w:color="auto"/>
        <w:right w:val="none" w:sz="0" w:space="0" w:color="auto"/>
      </w:divBdr>
    </w:div>
    <w:div w:id="366180006">
      <w:bodyDiv w:val="1"/>
      <w:marLeft w:val="0"/>
      <w:marRight w:val="0"/>
      <w:marTop w:val="0"/>
      <w:marBottom w:val="0"/>
      <w:divBdr>
        <w:top w:val="none" w:sz="0" w:space="0" w:color="auto"/>
        <w:left w:val="none" w:sz="0" w:space="0" w:color="auto"/>
        <w:bottom w:val="none" w:sz="0" w:space="0" w:color="auto"/>
        <w:right w:val="none" w:sz="0" w:space="0" w:color="auto"/>
      </w:divBdr>
    </w:div>
    <w:div w:id="416247371">
      <w:bodyDiv w:val="1"/>
      <w:marLeft w:val="0"/>
      <w:marRight w:val="0"/>
      <w:marTop w:val="0"/>
      <w:marBottom w:val="0"/>
      <w:divBdr>
        <w:top w:val="none" w:sz="0" w:space="0" w:color="auto"/>
        <w:left w:val="none" w:sz="0" w:space="0" w:color="auto"/>
        <w:bottom w:val="none" w:sz="0" w:space="0" w:color="auto"/>
        <w:right w:val="none" w:sz="0" w:space="0" w:color="auto"/>
      </w:divBdr>
    </w:div>
    <w:div w:id="427580282">
      <w:bodyDiv w:val="1"/>
      <w:marLeft w:val="0"/>
      <w:marRight w:val="0"/>
      <w:marTop w:val="0"/>
      <w:marBottom w:val="0"/>
      <w:divBdr>
        <w:top w:val="none" w:sz="0" w:space="0" w:color="auto"/>
        <w:left w:val="none" w:sz="0" w:space="0" w:color="auto"/>
        <w:bottom w:val="none" w:sz="0" w:space="0" w:color="auto"/>
        <w:right w:val="none" w:sz="0" w:space="0" w:color="auto"/>
      </w:divBdr>
    </w:div>
    <w:div w:id="476073049">
      <w:bodyDiv w:val="1"/>
      <w:marLeft w:val="0"/>
      <w:marRight w:val="0"/>
      <w:marTop w:val="0"/>
      <w:marBottom w:val="0"/>
      <w:divBdr>
        <w:top w:val="none" w:sz="0" w:space="0" w:color="auto"/>
        <w:left w:val="none" w:sz="0" w:space="0" w:color="auto"/>
        <w:bottom w:val="none" w:sz="0" w:space="0" w:color="auto"/>
        <w:right w:val="none" w:sz="0" w:space="0" w:color="auto"/>
      </w:divBdr>
    </w:div>
    <w:div w:id="550069326">
      <w:bodyDiv w:val="1"/>
      <w:marLeft w:val="0"/>
      <w:marRight w:val="0"/>
      <w:marTop w:val="0"/>
      <w:marBottom w:val="0"/>
      <w:divBdr>
        <w:top w:val="none" w:sz="0" w:space="0" w:color="auto"/>
        <w:left w:val="none" w:sz="0" w:space="0" w:color="auto"/>
        <w:bottom w:val="none" w:sz="0" w:space="0" w:color="auto"/>
        <w:right w:val="none" w:sz="0" w:space="0" w:color="auto"/>
      </w:divBdr>
    </w:div>
    <w:div w:id="707534213">
      <w:bodyDiv w:val="1"/>
      <w:marLeft w:val="0"/>
      <w:marRight w:val="0"/>
      <w:marTop w:val="0"/>
      <w:marBottom w:val="0"/>
      <w:divBdr>
        <w:top w:val="none" w:sz="0" w:space="0" w:color="auto"/>
        <w:left w:val="none" w:sz="0" w:space="0" w:color="auto"/>
        <w:bottom w:val="none" w:sz="0" w:space="0" w:color="auto"/>
        <w:right w:val="none" w:sz="0" w:space="0" w:color="auto"/>
      </w:divBdr>
    </w:div>
    <w:div w:id="929898799">
      <w:bodyDiv w:val="1"/>
      <w:marLeft w:val="0"/>
      <w:marRight w:val="0"/>
      <w:marTop w:val="0"/>
      <w:marBottom w:val="0"/>
      <w:divBdr>
        <w:top w:val="none" w:sz="0" w:space="0" w:color="auto"/>
        <w:left w:val="none" w:sz="0" w:space="0" w:color="auto"/>
        <w:bottom w:val="none" w:sz="0" w:space="0" w:color="auto"/>
        <w:right w:val="none" w:sz="0" w:space="0" w:color="auto"/>
      </w:divBdr>
    </w:div>
    <w:div w:id="1011029056">
      <w:bodyDiv w:val="1"/>
      <w:marLeft w:val="0"/>
      <w:marRight w:val="0"/>
      <w:marTop w:val="0"/>
      <w:marBottom w:val="0"/>
      <w:divBdr>
        <w:top w:val="none" w:sz="0" w:space="0" w:color="auto"/>
        <w:left w:val="none" w:sz="0" w:space="0" w:color="auto"/>
        <w:bottom w:val="none" w:sz="0" w:space="0" w:color="auto"/>
        <w:right w:val="none" w:sz="0" w:space="0" w:color="auto"/>
      </w:divBdr>
      <w:divsChild>
        <w:div w:id="1282882132">
          <w:marLeft w:val="0"/>
          <w:marRight w:val="0"/>
          <w:marTop w:val="0"/>
          <w:marBottom w:val="0"/>
          <w:divBdr>
            <w:top w:val="none" w:sz="0" w:space="0" w:color="auto"/>
            <w:left w:val="none" w:sz="0" w:space="0" w:color="auto"/>
            <w:bottom w:val="none" w:sz="0" w:space="0" w:color="auto"/>
            <w:right w:val="none" w:sz="0" w:space="0" w:color="auto"/>
          </w:divBdr>
          <w:divsChild>
            <w:div w:id="20281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3797">
      <w:bodyDiv w:val="1"/>
      <w:marLeft w:val="0"/>
      <w:marRight w:val="0"/>
      <w:marTop w:val="0"/>
      <w:marBottom w:val="0"/>
      <w:divBdr>
        <w:top w:val="none" w:sz="0" w:space="0" w:color="auto"/>
        <w:left w:val="none" w:sz="0" w:space="0" w:color="auto"/>
        <w:bottom w:val="none" w:sz="0" w:space="0" w:color="auto"/>
        <w:right w:val="none" w:sz="0" w:space="0" w:color="auto"/>
      </w:divBdr>
    </w:div>
    <w:div w:id="1218200443">
      <w:bodyDiv w:val="1"/>
      <w:marLeft w:val="0"/>
      <w:marRight w:val="0"/>
      <w:marTop w:val="0"/>
      <w:marBottom w:val="0"/>
      <w:divBdr>
        <w:top w:val="none" w:sz="0" w:space="0" w:color="auto"/>
        <w:left w:val="none" w:sz="0" w:space="0" w:color="auto"/>
        <w:bottom w:val="none" w:sz="0" w:space="0" w:color="auto"/>
        <w:right w:val="none" w:sz="0" w:space="0" w:color="auto"/>
      </w:divBdr>
    </w:div>
    <w:div w:id="1329407698">
      <w:bodyDiv w:val="1"/>
      <w:marLeft w:val="0"/>
      <w:marRight w:val="0"/>
      <w:marTop w:val="0"/>
      <w:marBottom w:val="0"/>
      <w:divBdr>
        <w:top w:val="none" w:sz="0" w:space="0" w:color="auto"/>
        <w:left w:val="none" w:sz="0" w:space="0" w:color="auto"/>
        <w:bottom w:val="none" w:sz="0" w:space="0" w:color="auto"/>
        <w:right w:val="none" w:sz="0" w:space="0" w:color="auto"/>
      </w:divBdr>
    </w:div>
    <w:div w:id="1465613175">
      <w:bodyDiv w:val="1"/>
      <w:marLeft w:val="0"/>
      <w:marRight w:val="0"/>
      <w:marTop w:val="0"/>
      <w:marBottom w:val="0"/>
      <w:divBdr>
        <w:top w:val="none" w:sz="0" w:space="0" w:color="auto"/>
        <w:left w:val="none" w:sz="0" w:space="0" w:color="auto"/>
        <w:bottom w:val="none" w:sz="0" w:space="0" w:color="auto"/>
        <w:right w:val="none" w:sz="0" w:space="0" w:color="auto"/>
      </w:divBdr>
    </w:div>
    <w:div w:id="1501390849">
      <w:bodyDiv w:val="1"/>
      <w:marLeft w:val="0"/>
      <w:marRight w:val="0"/>
      <w:marTop w:val="0"/>
      <w:marBottom w:val="0"/>
      <w:divBdr>
        <w:top w:val="none" w:sz="0" w:space="0" w:color="auto"/>
        <w:left w:val="none" w:sz="0" w:space="0" w:color="auto"/>
        <w:bottom w:val="none" w:sz="0" w:space="0" w:color="auto"/>
        <w:right w:val="none" w:sz="0" w:space="0" w:color="auto"/>
      </w:divBdr>
    </w:div>
    <w:div w:id="1618487909">
      <w:bodyDiv w:val="1"/>
      <w:marLeft w:val="0"/>
      <w:marRight w:val="0"/>
      <w:marTop w:val="0"/>
      <w:marBottom w:val="0"/>
      <w:divBdr>
        <w:top w:val="none" w:sz="0" w:space="0" w:color="auto"/>
        <w:left w:val="none" w:sz="0" w:space="0" w:color="auto"/>
        <w:bottom w:val="none" w:sz="0" w:space="0" w:color="auto"/>
        <w:right w:val="none" w:sz="0" w:space="0" w:color="auto"/>
      </w:divBdr>
    </w:div>
    <w:div w:id="1837070031">
      <w:bodyDiv w:val="1"/>
      <w:marLeft w:val="0"/>
      <w:marRight w:val="0"/>
      <w:marTop w:val="0"/>
      <w:marBottom w:val="0"/>
      <w:divBdr>
        <w:top w:val="none" w:sz="0" w:space="0" w:color="auto"/>
        <w:left w:val="none" w:sz="0" w:space="0" w:color="auto"/>
        <w:bottom w:val="none" w:sz="0" w:space="0" w:color="auto"/>
        <w:right w:val="none" w:sz="0" w:space="0" w:color="auto"/>
      </w:divBdr>
    </w:div>
    <w:div w:id="1857309165">
      <w:bodyDiv w:val="1"/>
      <w:marLeft w:val="0"/>
      <w:marRight w:val="0"/>
      <w:marTop w:val="0"/>
      <w:marBottom w:val="0"/>
      <w:divBdr>
        <w:top w:val="none" w:sz="0" w:space="0" w:color="auto"/>
        <w:left w:val="none" w:sz="0" w:space="0" w:color="auto"/>
        <w:bottom w:val="none" w:sz="0" w:space="0" w:color="auto"/>
        <w:right w:val="none" w:sz="0" w:space="0" w:color="auto"/>
      </w:divBdr>
    </w:div>
    <w:div w:id="1895505723">
      <w:bodyDiv w:val="1"/>
      <w:marLeft w:val="0"/>
      <w:marRight w:val="0"/>
      <w:marTop w:val="0"/>
      <w:marBottom w:val="0"/>
      <w:divBdr>
        <w:top w:val="none" w:sz="0" w:space="0" w:color="auto"/>
        <w:left w:val="none" w:sz="0" w:space="0" w:color="auto"/>
        <w:bottom w:val="none" w:sz="0" w:space="0" w:color="auto"/>
        <w:right w:val="none" w:sz="0" w:space="0" w:color="auto"/>
      </w:divBdr>
    </w:div>
    <w:div w:id="21265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1429074/" TargetMode="External"/><Relationship Id="rId18" Type="http://schemas.openxmlformats.org/officeDocument/2006/relationships/hyperlink" Target="https://doi.org/10.18865/ed.29.S2.405" TargetMode="External"/><Relationship Id="rId26" Type="http://schemas.openxmlformats.org/officeDocument/2006/relationships/hyperlink" Target="https://healthpolicy.ucla.edu/publications/latest/Pages/default.aspx" TargetMode="External"/><Relationship Id="rId21" Type="http://schemas.openxmlformats.org/officeDocument/2006/relationships/hyperlink" Target="https://www.rwjf.org/en/our-focus-areas/focus-areas/health-systems.html" TargetMode="External"/><Relationship Id="rId34" Type="http://schemas.openxmlformats.org/officeDocument/2006/relationships/hyperlink" Target="https://www.house.gov/the-house-explained/the-legislative-process" TargetMode="External"/><Relationship Id="rId7" Type="http://schemas.openxmlformats.org/officeDocument/2006/relationships/settings" Target="settings.xml"/><Relationship Id="rId12" Type="http://schemas.openxmlformats.org/officeDocument/2006/relationships/hyperlink" Target="https://pubmed.ncbi.nlm.nih.gov/15481400/" TargetMode="External"/><Relationship Id="rId17" Type="http://schemas.openxmlformats.org/officeDocument/2006/relationships/hyperlink" Target="https://doi.org/10.1111/nuf.12509" TargetMode="External"/><Relationship Id="rId25" Type="http://schemas.openxmlformats.org/officeDocument/2006/relationships/hyperlink" Target="https://www.nashp.org/" TargetMode="External"/><Relationship Id="rId33" Type="http://schemas.openxmlformats.org/officeDocument/2006/relationships/hyperlink" Target="https://www.usa.gov/how-laws-are-mad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111/nuf.12514" TargetMode="External"/><Relationship Id="rId20" Type="http://schemas.openxmlformats.org/officeDocument/2006/relationships/hyperlink" Target="https://www.rwjf.org/en/our-focus-areas/focus-areas/health-systems.html" TargetMode="External"/><Relationship Id="rId29" Type="http://schemas.openxmlformats.org/officeDocument/2006/relationships/hyperlink" Target="https://www.healthypeople.gov/2020/tools-and-resources/healthy-people-eLearning/Healthy-People-eLearning-Less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chpopulationhealth.org/component-4-2015.html" TargetMode="External"/><Relationship Id="rId24" Type="http://schemas.openxmlformats.org/officeDocument/2006/relationships/hyperlink" Target="https://www.nursingworld.org/practice-policy/advocacy/" TargetMode="External"/><Relationship Id="rId32" Type="http://schemas.openxmlformats.org/officeDocument/2006/relationships/hyperlink" Target="https://www.govtrack.us/how-a-bill-becomes-a-law"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177/1527154417709254" TargetMode="External"/><Relationship Id="rId23" Type="http://schemas.openxmlformats.org/officeDocument/2006/relationships/hyperlink" Target="https://www.commonwealthfund.org/" TargetMode="External"/><Relationship Id="rId28" Type="http://schemas.openxmlformats.org/officeDocument/2006/relationships/hyperlink" Target="https://www.cdc.gov/policy/analysis/index.html" TargetMode="External"/><Relationship Id="rId36" Type="http://schemas.openxmlformats.org/officeDocument/2006/relationships/hyperlink" Target="https://www.amazon.com/Health-Finance-Economics-Policy-Nurses/dp/0826152538/ref=sr_1_1?qid=1638376172&amp;refinements=p_27%3ABetty+Rambur+PhD++RN++FAAN&amp;s=books&amp;sr=1-1&amp;text=Betty+Rambur+PhD++RN++FAAN" TargetMode="External"/><Relationship Id="rId10" Type="http://schemas.openxmlformats.org/officeDocument/2006/relationships/endnotes" Target="endnotes.xml"/><Relationship Id="rId19" Type="http://schemas.openxmlformats.org/officeDocument/2006/relationships/hyperlink" Target="http://www.kff.org/" TargetMode="External"/><Relationship Id="rId31" Type="http://schemas.openxmlformats.org/officeDocument/2006/relationships/hyperlink" Target="https://www.happyschools.com/how-a-bill-becomes-a-law-in-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inr.12550" TargetMode="External"/><Relationship Id="rId22" Type="http://schemas.openxmlformats.org/officeDocument/2006/relationships/hyperlink" Target="https://www.commonwealthfund.org/" TargetMode="External"/><Relationship Id="rId27" Type="http://schemas.openxmlformats.org/officeDocument/2006/relationships/hyperlink" Target="https://www.cdc.gov/policy/analysis/index.html" TargetMode="External"/><Relationship Id="rId30" Type="http://schemas.openxmlformats.org/officeDocument/2006/relationships/hyperlink" Target="https://www.cdc.gov/nchhstp/legal-review.html" TargetMode="External"/><Relationship Id="rId35" Type="http://schemas.openxmlformats.org/officeDocument/2006/relationships/hyperlink" Target="https://bobcat.library.nyu.edu/primo-explore/fulldisplay?docid=nyu_aleph007555484&amp;context=L&amp;vid=NYU&amp;lang=en_US&amp;search_scope=all&amp;adaptor=Local%20Search%20Engine&amp;isFrbr=true&amp;tab=all&amp;query=any%2Ccontains%2Cpolicy%20and%20nursing&amp;sortby=date&amp;facet=frbrgroupid%2Cinclude%2C653556132&amp;offset=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681/ASN.2008030335" TargetMode="External"/><Relationship Id="rId13" Type="http://schemas.openxmlformats.org/officeDocument/2006/relationships/hyperlink" Target="https://www.udelivermedical.com/what-is-enfit" TargetMode="External"/><Relationship Id="rId18" Type="http://schemas.openxmlformats.org/officeDocument/2006/relationships/hyperlink" Target="https://www.cdc.gov/policy/polaris/policyprocess/index.html" TargetMode="External"/><Relationship Id="rId3" Type="http://schemas.openxmlformats.org/officeDocument/2006/relationships/hyperlink" Target="https://doi.org/10.1377/hlthaff.2017.1626" TargetMode="External"/><Relationship Id="rId21" Type="http://schemas.openxmlformats.org/officeDocument/2006/relationships/hyperlink" Target="https://www.cdc.gov/policy/polaris/policyprocess/policyanalysis/index.html" TargetMode="External"/><Relationship Id="rId7" Type="http://schemas.openxmlformats.org/officeDocument/2006/relationships/hyperlink" Target="https://doi.org/10.7326/0003-4819-125-8-199610150-00008" TargetMode="External"/><Relationship Id="rId12" Type="http://schemas.openxmlformats.org/officeDocument/2006/relationships/hyperlink" Target="https://leginfo.legislature.ca.gov/faces/billTextClient.xhtml?bill_id=200720080SB158" TargetMode="External"/><Relationship Id="rId17" Type="http://schemas.openxmlformats.org/officeDocument/2006/relationships/hyperlink" Target="https://leginfo.legislature.ca.gov/faces/billNavClient.xhtml?bill_id=201520160AB444" TargetMode="External"/><Relationship Id="rId2" Type="http://schemas.openxmlformats.org/officeDocument/2006/relationships/hyperlink" Target="http://www.jstor.org/stable/3764310" TargetMode="External"/><Relationship Id="rId16" Type="http://schemas.openxmlformats.org/officeDocument/2006/relationships/hyperlink" Target="https://stayconnected.org/enteral-enfit/" TargetMode="External"/><Relationship Id="rId20" Type="http://schemas.openxmlformats.org/officeDocument/2006/relationships/hyperlink" Target="https://www.cdc.gov/policy/polaris/policyprocess/strategy-development/index.html" TargetMode="External"/><Relationship Id="rId1" Type="http://schemas.openxmlformats.org/officeDocument/2006/relationships/hyperlink" Target="https://www.ahrq.gov/talkingquality/measures/six-domains.html" TargetMode="External"/><Relationship Id="rId6" Type="http://schemas.openxmlformats.org/officeDocument/2006/relationships/hyperlink" Target="https://www.hhs.gov/guidance/sites/default/files/hhs-guidance-documents/optn_policies.pdf" TargetMode="External"/><Relationship Id="rId11" Type="http://schemas.openxmlformats.org/officeDocument/2006/relationships/hyperlink" Target="https://doi.org/10.1053/j.ajkd.2021.08.003" TargetMode="External"/><Relationship Id="rId5" Type="http://schemas.openxmlformats.org/officeDocument/2006/relationships/hyperlink" Target="https://doi.org/10.1001/jamanetworkopen.2020.34004" TargetMode="External"/><Relationship Id="rId15" Type="http://schemas.openxmlformats.org/officeDocument/2006/relationships/hyperlink" Target="https://www.nytimes.com/2010/08/21/health/policy/21tubes.html" TargetMode="External"/><Relationship Id="rId23" Type="http://schemas.openxmlformats.org/officeDocument/2006/relationships/hyperlink" Target="https://www.cdc.gov/policy/polaris/policyprocess/implementation/index.html" TargetMode="External"/><Relationship Id="rId10" Type="http://schemas.openxmlformats.org/officeDocument/2006/relationships/hyperlink" Target="https://www.cnn.com/2021/04/25/health/race-correction-in-medicine-history-refocused/index.html" TargetMode="External"/><Relationship Id="rId19" Type="http://schemas.openxmlformats.org/officeDocument/2006/relationships/hyperlink" Target="https://www.cdc.gov/policy/polaris/policyprocess/problem-identification/index.html" TargetMode="External"/><Relationship Id="rId4" Type="http://schemas.openxmlformats.org/officeDocument/2006/relationships/hyperlink" Target="https://doi.org/10.1186/s40246-014-0023-x" TargetMode="External"/><Relationship Id="rId9" Type="http://schemas.openxmlformats.org/officeDocument/2006/relationships/hyperlink" Target="https://doi.org/10.1681/ASN.2014050474" TargetMode="External"/><Relationship Id="rId14" Type="http://schemas.openxmlformats.org/officeDocument/2006/relationships/hyperlink" Target="https://www.medela.us/breastfeeding-professionals/blog/rise-of-the-enfit-enteral-connector" TargetMode="External"/><Relationship Id="rId22" Type="http://schemas.openxmlformats.org/officeDocument/2006/relationships/hyperlink" Target="https://www.cdc.gov/policy/polaris/policyprocess/enactm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6DD0B304A71D439B863DB71F41B9E8" ma:contentTypeVersion="10" ma:contentTypeDescription="Create a new document." ma:contentTypeScope="" ma:versionID="162e560601209989fb232175e416d633">
  <xsd:schema xmlns:xsd="http://www.w3.org/2001/XMLSchema" xmlns:xs="http://www.w3.org/2001/XMLSchema" xmlns:p="http://schemas.microsoft.com/office/2006/metadata/properties" xmlns:ns2="31d981e7-7fc9-48b7-9716-893d4f3acc04" xmlns:ns3="f23b84b0-f4bc-4c12-8b8f-5a7011f0cb83" targetNamespace="http://schemas.microsoft.com/office/2006/metadata/properties" ma:root="true" ma:fieldsID="83db37a5150ab57bc176e0b77009c7fc" ns2:_="" ns3:_="">
    <xsd:import namespace="31d981e7-7fc9-48b7-9716-893d4f3acc04"/>
    <xsd:import namespace="f23b84b0-f4bc-4c12-8b8f-5a7011f0cb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981e7-7fc9-48b7-9716-893d4f3ac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b84b0-f4bc-4c12-8b8f-5a7011f0cb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CCDDA-0706-479E-A6B1-0A32A47FA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BC0BF-B136-4C64-A049-8ED22DFF8AF5}">
  <ds:schemaRefs>
    <ds:schemaRef ds:uri="http://schemas.openxmlformats.org/officeDocument/2006/bibliography"/>
  </ds:schemaRefs>
</ds:datastoreItem>
</file>

<file path=customXml/itemProps3.xml><?xml version="1.0" encoding="utf-8"?>
<ds:datastoreItem xmlns:ds="http://schemas.openxmlformats.org/officeDocument/2006/customXml" ds:itemID="{EC0EBE5E-7BAB-4504-848D-5942E694B6C8}">
  <ds:schemaRefs>
    <ds:schemaRef ds:uri="http://schemas.microsoft.com/sharepoint/v3/contenttype/forms"/>
  </ds:schemaRefs>
</ds:datastoreItem>
</file>

<file path=customXml/itemProps4.xml><?xml version="1.0" encoding="utf-8"?>
<ds:datastoreItem xmlns:ds="http://schemas.openxmlformats.org/officeDocument/2006/customXml" ds:itemID="{858344C1-5DF4-4459-A904-B2BFA423F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981e7-7fc9-48b7-9716-893d4f3acc04"/>
    <ds:schemaRef ds:uri="f23b84b0-f4bc-4c12-8b8f-5a7011f0c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4232</Words>
  <Characters>25013</Characters>
  <Application>Microsoft Office Word</Application>
  <DocSecurity>0</DocSecurity>
  <Lines>1136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Hoyt, Alex</dc:creator>
  <cp:keywords/>
  <dc:description/>
  <cp:lastModifiedBy>McElroy, Amy</cp:lastModifiedBy>
  <cp:revision>2</cp:revision>
  <dcterms:created xsi:type="dcterms:W3CDTF">2022-11-02T14:55:00Z</dcterms:created>
  <dcterms:modified xsi:type="dcterms:W3CDTF">2022-11-02T14:55:00Z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0x010100596DD0B304A71D439B863DB71F41B9E8</vt:lpwstr>
  </property>
</Properties>
</file>